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4174E" w14:textId="73D68F9A" w:rsidR="00863239" w:rsidRPr="006473A2" w:rsidRDefault="00863239" w:rsidP="00863239">
      <w:pPr>
        <w:pBdr>
          <w:bottom w:val="single" w:sz="4" w:space="1" w:color="auto"/>
        </w:pBdr>
        <w:jc w:val="left"/>
        <w:rPr>
          <w:rFonts w:ascii="Arial" w:hAnsi="Arial" w:cs="Arial"/>
          <w:b/>
          <w:color w:val="002060"/>
          <w:sz w:val="28"/>
          <w:szCs w:val="28"/>
        </w:rPr>
      </w:pPr>
      <w:bookmarkStart w:id="0" w:name="_Hlk35944062"/>
      <w:r w:rsidRPr="006473A2">
        <w:rPr>
          <w:rFonts w:ascii="Arial" w:hAnsi="Arial" w:cs="Arial"/>
          <w:b/>
          <w:color w:val="002060"/>
          <w:sz w:val="28"/>
          <w:szCs w:val="28"/>
        </w:rPr>
        <w:t xml:space="preserve">PT </w:t>
      </w:r>
      <w:r w:rsidR="00B7193B" w:rsidRPr="006473A2">
        <w:rPr>
          <w:rFonts w:ascii="Arial" w:hAnsi="Arial" w:cs="Arial"/>
          <w:b/>
          <w:color w:val="002060"/>
          <w:sz w:val="28"/>
          <w:szCs w:val="28"/>
        </w:rPr>
        <w:t>450</w:t>
      </w:r>
      <w:r w:rsidRPr="006473A2">
        <w:rPr>
          <w:rFonts w:ascii="Arial" w:hAnsi="Arial" w:cs="Arial"/>
          <w:b/>
          <w:color w:val="002060"/>
          <w:sz w:val="28"/>
          <w:szCs w:val="28"/>
        </w:rPr>
        <w:t>.</w:t>
      </w:r>
      <w:r w:rsidR="00B7193B" w:rsidRPr="006473A2">
        <w:rPr>
          <w:rFonts w:ascii="Arial" w:hAnsi="Arial" w:cs="Arial"/>
          <w:b/>
          <w:color w:val="002060"/>
          <w:sz w:val="28"/>
          <w:szCs w:val="28"/>
        </w:rPr>
        <w:t>4</w:t>
      </w:r>
      <w:r w:rsidRPr="006473A2">
        <w:rPr>
          <w:rFonts w:ascii="Arial" w:hAnsi="Arial" w:cs="Arial"/>
          <w:b/>
          <w:color w:val="002060"/>
          <w:sz w:val="28"/>
          <w:szCs w:val="28"/>
        </w:rPr>
        <w:t xml:space="preserve"> – </w:t>
      </w:r>
      <w:r w:rsidR="00B7193B" w:rsidRPr="006473A2">
        <w:rPr>
          <w:rFonts w:ascii="Arial" w:hAnsi="Arial" w:cs="Arial"/>
          <w:b/>
          <w:color w:val="002060"/>
          <w:sz w:val="28"/>
          <w:szCs w:val="28"/>
        </w:rPr>
        <w:t>ACUMULAÇÃO DAS DISTORÇÕES</w:t>
      </w:r>
      <w:r w:rsidR="000D1B68" w:rsidRPr="006473A2">
        <w:rPr>
          <w:rFonts w:ascii="Arial" w:hAnsi="Arial" w:cs="Arial"/>
          <w:b/>
          <w:color w:val="002060"/>
          <w:sz w:val="28"/>
          <w:szCs w:val="28"/>
        </w:rPr>
        <w:t xml:space="preserve"> IDENTIFICADAS</w:t>
      </w:r>
    </w:p>
    <w:p w14:paraId="4FEECC4C" w14:textId="77777777" w:rsidR="00863239" w:rsidRPr="006473A2" w:rsidRDefault="00863239" w:rsidP="00863239">
      <w:pPr>
        <w:rPr>
          <w:rFonts w:ascii="Arial" w:hAnsi="Arial" w:cs="Arial"/>
        </w:rPr>
      </w:pPr>
    </w:p>
    <w:p w14:paraId="3F424870" w14:textId="5E2FC61A" w:rsidR="00863239" w:rsidRPr="006473A2" w:rsidRDefault="00863239" w:rsidP="00863239">
      <w:pPr>
        <w:rPr>
          <w:rStyle w:val="Forte"/>
          <w:rFonts w:ascii="Arial" w:hAnsi="Arial" w:cs="Arial"/>
          <w:b w:val="0"/>
          <w:bCs w:val="0"/>
          <w:shd w:val="clear" w:color="auto" w:fill="FFFFFF"/>
        </w:rPr>
      </w:pPr>
      <w:r w:rsidRPr="006473A2">
        <w:rPr>
          <w:rStyle w:val="Forte"/>
          <w:rFonts w:ascii="Arial" w:hAnsi="Arial" w:cs="Arial"/>
          <w:shd w:val="clear" w:color="auto" w:fill="FFFFFF"/>
        </w:rPr>
        <w:t>Entidade</w:t>
      </w:r>
      <w:r w:rsidRPr="006473A2">
        <w:rPr>
          <w:rStyle w:val="Forte"/>
          <w:rFonts w:ascii="Arial" w:hAnsi="Arial" w:cs="Arial"/>
          <w:b w:val="0"/>
          <w:bCs w:val="0"/>
          <w:shd w:val="clear" w:color="auto" w:fill="FFFFFF"/>
        </w:rPr>
        <w:t>:</w:t>
      </w:r>
      <w:r w:rsidRPr="006473A2">
        <w:rPr>
          <w:rStyle w:val="Forte"/>
          <w:rFonts w:ascii="Arial" w:hAnsi="Arial" w:cs="Arial"/>
          <w:shd w:val="clear" w:color="auto" w:fill="FFFFFF"/>
        </w:rPr>
        <w:t xml:space="preserve"> </w:t>
      </w:r>
      <w:r w:rsidR="00AF6F4C" w:rsidRPr="006473A2">
        <w:rPr>
          <w:rStyle w:val="Forte"/>
          <w:rFonts w:ascii="Arial" w:hAnsi="Arial" w:cs="Arial"/>
          <w:b w:val="0"/>
          <w:bCs w:val="0"/>
          <w:shd w:val="clear" w:color="auto" w:fill="FFFFFF"/>
        </w:rPr>
        <w:t>[Nome da organização]</w:t>
      </w:r>
      <w:r w:rsidRPr="006473A2">
        <w:rPr>
          <w:rStyle w:val="Forte"/>
          <w:rFonts w:ascii="Arial" w:hAnsi="Arial" w:cs="Arial"/>
          <w:b w:val="0"/>
          <w:bCs w:val="0"/>
          <w:shd w:val="clear" w:color="auto" w:fill="FFFFFF"/>
        </w:rPr>
        <w:t xml:space="preserve"> (</w:t>
      </w:r>
      <w:r w:rsidR="00AF6F4C" w:rsidRPr="006473A2">
        <w:rPr>
          <w:rStyle w:val="Forte"/>
          <w:rFonts w:ascii="Arial" w:hAnsi="Arial" w:cs="Arial"/>
          <w:b w:val="0"/>
          <w:bCs w:val="0"/>
          <w:shd w:val="clear" w:color="auto" w:fill="FFFFFF"/>
        </w:rPr>
        <w:t>Sigla</w:t>
      </w:r>
      <w:r w:rsidRPr="006473A2">
        <w:rPr>
          <w:rStyle w:val="Forte"/>
          <w:rFonts w:ascii="Arial" w:hAnsi="Arial" w:cs="Arial"/>
          <w:b w:val="0"/>
          <w:bCs w:val="0"/>
          <w:shd w:val="clear" w:color="auto" w:fill="FFFFFF"/>
        </w:rPr>
        <w:t>)</w:t>
      </w:r>
    </w:p>
    <w:p w14:paraId="36E15C82" w14:textId="2F83724D" w:rsidR="00863239" w:rsidRPr="006473A2" w:rsidRDefault="00863239" w:rsidP="00863239">
      <w:pPr>
        <w:rPr>
          <w:rStyle w:val="Forte"/>
          <w:rFonts w:ascii="Arial" w:hAnsi="Arial" w:cs="Arial"/>
          <w:shd w:val="clear" w:color="auto" w:fill="FFFFFF"/>
        </w:rPr>
      </w:pPr>
      <w:r w:rsidRPr="006473A2">
        <w:rPr>
          <w:rStyle w:val="Forte"/>
          <w:rFonts w:ascii="Arial" w:hAnsi="Arial" w:cs="Arial"/>
          <w:shd w:val="clear" w:color="auto" w:fill="FFFFFF"/>
        </w:rPr>
        <w:t>Auditoria</w:t>
      </w:r>
      <w:r w:rsidRPr="006473A2">
        <w:rPr>
          <w:rStyle w:val="Forte"/>
          <w:rFonts w:ascii="Arial" w:hAnsi="Arial" w:cs="Arial"/>
          <w:b w:val="0"/>
          <w:bCs w:val="0"/>
          <w:shd w:val="clear" w:color="auto" w:fill="FFFFFF"/>
        </w:rPr>
        <w:t>:</w:t>
      </w:r>
      <w:r w:rsidRPr="006473A2">
        <w:rPr>
          <w:rStyle w:val="Forte"/>
          <w:rFonts w:ascii="Arial" w:hAnsi="Arial" w:cs="Arial"/>
          <w:shd w:val="clear" w:color="auto" w:fill="FFFFFF"/>
        </w:rPr>
        <w:t xml:space="preserve"> </w:t>
      </w:r>
      <w:r w:rsidRPr="006473A2">
        <w:rPr>
          <w:rStyle w:val="Forte"/>
          <w:rFonts w:ascii="Arial" w:hAnsi="Arial" w:cs="Arial"/>
          <w:b w:val="0"/>
          <w:bCs w:val="0"/>
          <w:shd w:val="clear" w:color="auto" w:fill="FFFFFF"/>
        </w:rPr>
        <w:t>Contas Anuais de 20</w:t>
      </w:r>
      <w:r w:rsidR="00AF6F4C" w:rsidRPr="006473A2">
        <w:rPr>
          <w:rStyle w:val="Forte"/>
          <w:rFonts w:ascii="Arial" w:hAnsi="Arial" w:cs="Arial"/>
          <w:b w:val="0"/>
          <w:bCs w:val="0"/>
          <w:shd w:val="clear" w:color="auto" w:fill="FFFFFF"/>
        </w:rPr>
        <w:t>2</w:t>
      </w:r>
      <w:r w:rsidR="00E861BE" w:rsidRPr="006473A2">
        <w:rPr>
          <w:rStyle w:val="Forte"/>
          <w:rFonts w:ascii="Arial" w:hAnsi="Arial" w:cs="Arial"/>
          <w:b w:val="0"/>
          <w:bCs w:val="0"/>
          <w:shd w:val="clear" w:color="auto" w:fill="FFFFFF"/>
        </w:rPr>
        <w:t>X</w:t>
      </w:r>
      <w:r w:rsidR="00B3465A" w:rsidRPr="006473A2">
        <w:rPr>
          <w:rStyle w:val="Forte"/>
          <w:rFonts w:ascii="Arial" w:hAnsi="Arial" w:cs="Arial"/>
          <w:b w:val="0"/>
          <w:bCs w:val="0"/>
          <w:shd w:val="clear" w:color="auto" w:fill="FFFFFF"/>
        </w:rPr>
        <w:tab/>
      </w:r>
      <w:r w:rsidR="00B3465A" w:rsidRPr="006473A2">
        <w:rPr>
          <w:rStyle w:val="Forte"/>
          <w:rFonts w:ascii="Arial" w:hAnsi="Arial" w:cs="Arial"/>
          <w:b w:val="0"/>
          <w:bCs w:val="0"/>
          <w:shd w:val="clear" w:color="auto" w:fill="FFFFFF"/>
        </w:rPr>
        <w:tab/>
        <w:t xml:space="preserve">        </w:t>
      </w:r>
      <w:r w:rsidRPr="006473A2">
        <w:rPr>
          <w:rStyle w:val="Forte"/>
          <w:rFonts w:ascii="Arial" w:hAnsi="Arial" w:cs="Arial"/>
          <w:shd w:val="clear" w:color="auto" w:fill="FFFFFF"/>
        </w:rPr>
        <w:t>Processo</w:t>
      </w:r>
      <w:r w:rsidRPr="006473A2">
        <w:rPr>
          <w:rStyle w:val="Forte"/>
          <w:rFonts w:ascii="Arial" w:hAnsi="Arial" w:cs="Arial"/>
          <w:b w:val="0"/>
          <w:bCs w:val="0"/>
          <w:shd w:val="clear" w:color="auto" w:fill="FFFFFF"/>
        </w:rPr>
        <w:t>:</w:t>
      </w:r>
      <w:r w:rsidRPr="006473A2">
        <w:rPr>
          <w:rStyle w:val="Forte"/>
          <w:rFonts w:ascii="Arial" w:hAnsi="Arial" w:cs="Arial"/>
          <w:shd w:val="clear" w:color="auto" w:fill="FFFFFF"/>
        </w:rPr>
        <w:t xml:space="preserve"> </w:t>
      </w:r>
      <w:r w:rsidR="002E7BCC" w:rsidRPr="006473A2">
        <w:rPr>
          <w:rFonts w:ascii="Arial" w:hAnsi="Arial" w:cs="Arial"/>
          <w:bCs/>
          <w:iCs/>
        </w:rPr>
        <w:t>Processo nº 2022000XXXXXX/XXX-XX</w:t>
      </w:r>
    </w:p>
    <w:p w14:paraId="148FC30E" w14:textId="77777777" w:rsidR="00863239" w:rsidRPr="006473A2" w:rsidRDefault="00863239" w:rsidP="00863239">
      <w:pPr>
        <w:spacing w:before="240" w:after="240"/>
        <w:rPr>
          <w:rFonts w:ascii="Arial" w:hAnsi="Arial" w:cs="Arial"/>
          <w:b/>
        </w:rPr>
      </w:pPr>
      <w:r w:rsidRPr="006473A2">
        <w:rPr>
          <w:rFonts w:ascii="Arial" w:hAnsi="Arial" w:cs="Arial"/>
          <w:b/>
        </w:rPr>
        <w:t>OBJETIVO</w:t>
      </w:r>
    </w:p>
    <w:p w14:paraId="2DF0A076" w14:textId="31AC74AA" w:rsidR="00F50C80" w:rsidRPr="006473A2" w:rsidRDefault="00863239" w:rsidP="0052657E">
      <w:pPr>
        <w:spacing w:before="120" w:after="120" w:line="240" w:lineRule="auto"/>
        <w:ind w:left="11" w:firstLine="709"/>
        <w:rPr>
          <w:rFonts w:ascii="Arial" w:hAnsi="Arial" w:cs="Arial"/>
        </w:rPr>
      </w:pPr>
      <w:r w:rsidRPr="006473A2">
        <w:rPr>
          <w:rFonts w:ascii="Arial" w:hAnsi="Arial" w:cs="Arial"/>
        </w:rPr>
        <w:t xml:space="preserve">Este papel de trabalho tem por objetivo </w:t>
      </w:r>
      <w:r w:rsidR="00F50C80" w:rsidRPr="006473A2">
        <w:rPr>
          <w:rFonts w:ascii="Arial" w:hAnsi="Arial" w:cs="Arial"/>
        </w:rPr>
        <w:t>apoiar o auditor no dever de acumular distorções identificadas durante a auditoria que não sejam claramente triviais (NBC TA 450, item 5).</w:t>
      </w:r>
    </w:p>
    <w:p w14:paraId="64450999" w14:textId="13821A50" w:rsidR="00065CC1" w:rsidRPr="006473A2" w:rsidRDefault="0052657E" w:rsidP="00065CC1">
      <w:pPr>
        <w:spacing w:before="120" w:after="120" w:line="240" w:lineRule="auto"/>
        <w:rPr>
          <w:rFonts w:ascii="Arial" w:hAnsi="Arial" w:cs="Arial"/>
          <w:b/>
        </w:rPr>
      </w:pPr>
      <w:r w:rsidRPr="006473A2">
        <w:rPr>
          <w:rFonts w:ascii="Arial" w:hAnsi="Arial" w:cs="Arial"/>
          <w:b/>
        </w:rPr>
        <w:t>DEFINIÇÕES</w:t>
      </w:r>
    </w:p>
    <w:p w14:paraId="2CC9D4E6" w14:textId="77777777" w:rsidR="0052657E" w:rsidRPr="006473A2" w:rsidRDefault="0052657E" w:rsidP="0052657E">
      <w:pPr>
        <w:spacing w:after="160" w:line="259" w:lineRule="auto"/>
        <w:ind w:left="0" w:firstLine="708"/>
        <w:rPr>
          <w:rFonts w:ascii="Arial" w:hAnsi="Arial" w:cs="Arial"/>
        </w:rPr>
      </w:pPr>
      <w:r w:rsidRPr="006473A2">
        <w:rPr>
          <w:rFonts w:ascii="Arial" w:hAnsi="Arial" w:cs="Arial"/>
        </w:rPr>
        <w:t>Importante demonstrar o conceito de distorção, que é a diferença entre o valor divulgado, classificação, apresentação ou divulgação de um item nas demonstrações contábeis e o valor, classificação, apresentação ou divulgação que é requerido para que o item esteja de acordo com a estrutura de relatório financeiro aplicável. Distorção pode ser decorrente de erro ou fraude.</w:t>
      </w:r>
    </w:p>
    <w:p w14:paraId="01381CD9" w14:textId="55F94A3A" w:rsidR="0052657E" w:rsidRPr="006473A2" w:rsidRDefault="0052657E" w:rsidP="0052657E">
      <w:pPr>
        <w:spacing w:before="120" w:after="120" w:line="240" w:lineRule="auto"/>
        <w:ind w:firstLine="698"/>
        <w:rPr>
          <w:rFonts w:ascii="Arial" w:hAnsi="Arial" w:cs="Arial"/>
          <w:b/>
        </w:rPr>
      </w:pPr>
      <w:r w:rsidRPr="006473A2">
        <w:rPr>
          <w:rFonts w:ascii="Arial" w:hAnsi="Arial" w:cs="Arial"/>
        </w:rPr>
        <w:t>Apresenta-se também o conceito de desvio de conformidade, que é a diferença entre a situação encontrada e os critérios formais (tais como leis, regulamentos e acordos pertinentes) e/ou legitimidade (observância aos princíp</w:t>
      </w:r>
      <w:bookmarkStart w:id="1" w:name="_GoBack"/>
      <w:bookmarkEnd w:id="1"/>
      <w:r w:rsidRPr="006473A2">
        <w:rPr>
          <w:rFonts w:ascii="Arial" w:hAnsi="Arial" w:cs="Arial"/>
        </w:rPr>
        <w:t>ios gerais que regem a boa gestão financeira e conduta dos funcionários públicos). Pode ser decorrente de erro ou fraude.</w:t>
      </w:r>
    </w:p>
    <w:bookmarkEnd w:id="0"/>
    <w:p w14:paraId="77AF7825" w14:textId="691E4584" w:rsidR="00F14820" w:rsidRPr="006473A2" w:rsidRDefault="00B51666" w:rsidP="00B51666">
      <w:pPr>
        <w:pStyle w:val="Legenda"/>
        <w:rPr>
          <w:rFonts w:ascii="Arial" w:hAnsi="Arial" w:cs="Arial"/>
          <w:b/>
          <w:bCs/>
          <w:i w:val="0"/>
          <w:iCs w:val="0"/>
          <w:color w:val="000000"/>
          <w:sz w:val="22"/>
          <w:szCs w:val="22"/>
        </w:rPr>
      </w:pPr>
      <w:r w:rsidRPr="006473A2">
        <w:rPr>
          <w:rFonts w:ascii="Arial" w:hAnsi="Arial" w:cs="Arial"/>
          <w:b/>
          <w:bCs/>
          <w:i w:val="0"/>
          <w:iCs w:val="0"/>
          <w:color w:val="000000"/>
          <w:sz w:val="22"/>
          <w:szCs w:val="22"/>
        </w:rPr>
        <w:t xml:space="preserve">Quadro </w:t>
      </w:r>
      <w:r w:rsidRPr="006473A2">
        <w:rPr>
          <w:rFonts w:ascii="Arial" w:hAnsi="Arial" w:cs="Arial"/>
          <w:b/>
          <w:bCs/>
          <w:i w:val="0"/>
          <w:iCs w:val="0"/>
          <w:color w:val="000000"/>
          <w:sz w:val="22"/>
          <w:szCs w:val="22"/>
        </w:rPr>
        <w:fldChar w:fldCharType="begin"/>
      </w:r>
      <w:r w:rsidRPr="006473A2">
        <w:rPr>
          <w:rFonts w:ascii="Arial" w:hAnsi="Arial" w:cs="Arial"/>
          <w:b/>
          <w:bCs/>
          <w:i w:val="0"/>
          <w:iCs w:val="0"/>
          <w:color w:val="000000"/>
          <w:sz w:val="22"/>
          <w:szCs w:val="22"/>
        </w:rPr>
        <w:instrText xml:space="preserve"> SEQ Quadro \* ARABIC </w:instrText>
      </w:r>
      <w:r w:rsidRPr="006473A2">
        <w:rPr>
          <w:rFonts w:ascii="Arial" w:hAnsi="Arial" w:cs="Arial"/>
          <w:b/>
          <w:bCs/>
          <w:i w:val="0"/>
          <w:iCs w:val="0"/>
          <w:color w:val="000000"/>
          <w:sz w:val="22"/>
          <w:szCs w:val="22"/>
        </w:rPr>
        <w:fldChar w:fldCharType="separate"/>
      </w:r>
      <w:r w:rsidRPr="006473A2">
        <w:rPr>
          <w:rFonts w:ascii="Arial" w:hAnsi="Arial" w:cs="Arial"/>
          <w:b/>
          <w:bCs/>
          <w:i w:val="0"/>
          <w:iCs w:val="0"/>
          <w:noProof/>
          <w:color w:val="000000"/>
          <w:sz w:val="22"/>
          <w:szCs w:val="22"/>
        </w:rPr>
        <w:t>1</w:t>
      </w:r>
      <w:r w:rsidRPr="006473A2">
        <w:rPr>
          <w:rFonts w:ascii="Arial" w:hAnsi="Arial" w:cs="Arial"/>
          <w:b/>
          <w:bCs/>
          <w:i w:val="0"/>
          <w:iCs w:val="0"/>
          <w:color w:val="000000"/>
          <w:sz w:val="22"/>
          <w:szCs w:val="22"/>
        </w:rPr>
        <w:fldChar w:fldCharType="end"/>
      </w:r>
      <w:r w:rsidRPr="006473A2">
        <w:rPr>
          <w:rFonts w:ascii="Arial" w:hAnsi="Arial" w:cs="Arial"/>
          <w:b/>
          <w:bCs/>
          <w:i w:val="0"/>
          <w:iCs w:val="0"/>
          <w:color w:val="000000"/>
          <w:sz w:val="22"/>
          <w:szCs w:val="22"/>
        </w:rPr>
        <w:t xml:space="preserve"> </w:t>
      </w:r>
      <w:r w:rsidR="00F14820" w:rsidRPr="006473A2">
        <w:rPr>
          <w:rFonts w:ascii="Arial" w:hAnsi="Arial" w:cs="Arial"/>
          <w:b/>
          <w:bCs/>
          <w:i w:val="0"/>
          <w:iCs w:val="0"/>
          <w:color w:val="000000"/>
          <w:sz w:val="22"/>
          <w:szCs w:val="22"/>
        </w:rPr>
        <w:t xml:space="preserve">– </w:t>
      </w:r>
      <w:r w:rsidR="00B7193B" w:rsidRPr="006473A2">
        <w:rPr>
          <w:rFonts w:ascii="Arial" w:hAnsi="Arial" w:cs="Arial"/>
          <w:b/>
          <w:bCs/>
          <w:i w:val="0"/>
          <w:iCs w:val="0"/>
          <w:color w:val="000000"/>
          <w:sz w:val="22"/>
          <w:szCs w:val="22"/>
        </w:rPr>
        <w:t>Acumulação das</w:t>
      </w:r>
      <w:r w:rsidR="00F14820" w:rsidRPr="006473A2">
        <w:rPr>
          <w:rFonts w:ascii="Arial" w:hAnsi="Arial" w:cs="Arial"/>
          <w:b/>
          <w:bCs/>
          <w:i w:val="0"/>
          <w:iCs w:val="0"/>
          <w:color w:val="000000"/>
          <w:sz w:val="22"/>
          <w:szCs w:val="22"/>
        </w:rPr>
        <w:t xml:space="preserve"> distorções sobre as Demonstrações Contábeis </w:t>
      </w:r>
    </w:p>
    <w:tbl>
      <w:tblPr>
        <w:tblStyle w:val="Tabelacomgrade"/>
        <w:tblW w:w="9634" w:type="dxa"/>
        <w:tblLook w:val="04A0" w:firstRow="1" w:lastRow="0" w:firstColumn="1" w:lastColumn="0" w:noHBand="0" w:noVBand="1"/>
      </w:tblPr>
      <w:tblGrid>
        <w:gridCol w:w="639"/>
        <w:gridCol w:w="8995"/>
      </w:tblGrid>
      <w:tr w:rsidR="00B7193B" w:rsidRPr="006473A2" w14:paraId="46FCB637" w14:textId="77777777" w:rsidTr="00B7193B">
        <w:trPr>
          <w:trHeight w:val="373"/>
        </w:trPr>
        <w:tc>
          <w:tcPr>
            <w:tcW w:w="0" w:type="auto"/>
            <w:vMerge w:val="restart"/>
            <w:shd w:val="clear" w:color="auto" w:fill="D9D9D9" w:themeFill="background1" w:themeFillShade="D9"/>
            <w:vAlign w:val="center"/>
          </w:tcPr>
          <w:p w14:paraId="7247E166" w14:textId="544FFB0D" w:rsidR="00B7193B" w:rsidRPr="006473A2" w:rsidRDefault="00B7193B" w:rsidP="0092322F">
            <w:pPr>
              <w:spacing w:before="120" w:after="120" w:line="240" w:lineRule="auto"/>
              <w:ind w:left="0"/>
              <w:jc w:val="left"/>
              <w:rPr>
                <w:rStyle w:val="Forte"/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</w:rPr>
            </w:pPr>
            <w:r w:rsidRPr="006473A2">
              <w:rPr>
                <w:rStyle w:val="Forte"/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  <w:lang w:val="pt-BR"/>
              </w:rPr>
              <w:t>Seq.</w:t>
            </w:r>
          </w:p>
        </w:tc>
        <w:tc>
          <w:tcPr>
            <w:tcW w:w="9020" w:type="dxa"/>
            <w:vMerge w:val="restart"/>
            <w:shd w:val="clear" w:color="auto" w:fill="D9D9D9" w:themeFill="background1" w:themeFillShade="D9"/>
            <w:vAlign w:val="center"/>
          </w:tcPr>
          <w:p w14:paraId="4A9F00DD" w14:textId="4D516BF2" w:rsidR="00B7193B" w:rsidRPr="006473A2" w:rsidRDefault="00B7193B" w:rsidP="0092322F">
            <w:pPr>
              <w:spacing w:before="120" w:after="120" w:line="240" w:lineRule="auto"/>
              <w:ind w:left="0"/>
              <w:jc w:val="left"/>
              <w:rPr>
                <w:rStyle w:val="Forte"/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</w:rPr>
            </w:pPr>
            <w:r w:rsidRPr="006473A2">
              <w:rPr>
                <w:rStyle w:val="Forte"/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  <w:lang w:val="pt-BR"/>
              </w:rPr>
              <w:t>Distorções de valores</w:t>
            </w:r>
            <w:r w:rsidR="00AF6F4C" w:rsidRPr="006473A2">
              <w:rPr>
                <w:rStyle w:val="Forte"/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  <w:lang w:val="pt-BR"/>
              </w:rPr>
              <w:t xml:space="preserve"> </w:t>
            </w:r>
            <w:r w:rsidR="00AF6F4C" w:rsidRPr="006473A2">
              <w:rPr>
                <w:rStyle w:val="Forte"/>
                <w:rFonts w:ascii="Arial" w:hAnsi="Arial" w:cs="Arial"/>
                <w:color w:val="FF0000"/>
                <w:sz w:val="20"/>
                <w:szCs w:val="20"/>
                <w:highlight w:val="lightGray"/>
                <w:shd w:val="clear" w:color="auto" w:fill="FFFFFF"/>
                <w:lang w:val="pt-BR"/>
              </w:rPr>
              <w:t>(Exemplos)</w:t>
            </w:r>
          </w:p>
        </w:tc>
      </w:tr>
      <w:tr w:rsidR="00B7193B" w:rsidRPr="006473A2" w14:paraId="55AD5A4E" w14:textId="77777777" w:rsidTr="00B7193B">
        <w:trPr>
          <w:trHeight w:val="493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</w:tcPr>
          <w:p w14:paraId="7CA3D835" w14:textId="6D6845F0" w:rsidR="00B7193B" w:rsidRPr="006473A2" w:rsidRDefault="00B7193B" w:rsidP="0092322F">
            <w:pPr>
              <w:spacing w:before="120" w:after="120" w:line="240" w:lineRule="auto"/>
              <w:ind w:left="0" w:firstLine="0"/>
              <w:jc w:val="left"/>
              <w:rPr>
                <w:rStyle w:val="Forte"/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  <w:lang w:val="pt-BR"/>
              </w:rPr>
            </w:pPr>
          </w:p>
        </w:tc>
        <w:tc>
          <w:tcPr>
            <w:tcW w:w="9020" w:type="dxa"/>
            <w:vMerge/>
            <w:shd w:val="clear" w:color="auto" w:fill="D9D9D9" w:themeFill="background1" w:themeFillShade="D9"/>
            <w:vAlign w:val="center"/>
          </w:tcPr>
          <w:p w14:paraId="34AA5933" w14:textId="77463D73" w:rsidR="00B7193B" w:rsidRPr="006473A2" w:rsidRDefault="00B7193B" w:rsidP="0092322F">
            <w:pPr>
              <w:spacing w:before="120" w:after="120" w:line="240" w:lineRule="auto"/>
              <w:ind w:left="0" w:firstLine="0"/>
              <w:jc w:val="left"/>
              <w:rPr>
                <w:rStyle w:val="Forte"/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  <w:lang w:val="pt-BR"/>
              </w:rPr>
            </w:pPr>
          </w:p>
        </w:tc>
      </w:tr>
      <w:tr w:rsidR="00B7193B" w:rsidRPr="006473A2" w14:paraId="3555E4E2" w14:textId="77777777" w:rsidTr="00B7193B">
        <w:tc>
          <w:tcPr>
            <w:tcW w:w="0" w:type="auto"/>
            <w:vAlign w:val="center"/>
          </w:tcPr>
          <w:p w14:paraId="0A387184" w14:textId="46F5B6AA" w:rsidR="00B7193B" w:rsidRPr="006473A2" w:rsidRDefault="00B7193B" w:rsidP="00DA02FE">
            <w:pPr>
              <w:spacing w:before="120" w:after="12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1</w:t>
            </w:r>
          </w:p>
        </w:tc>
        <w:tc>
          <w:tcPr>
            <w:tcW w:w="9020" w:type="dxa"/>
            <w:vAlign w:val="center"/>
          </w:tcPr>
          <w:p w14:paraId="32678C67" w14:textId="67C6D8D9" w:rsidR="00B7193B" w:rsidRPr="006473A2" w:rsidRDefault="00B7193B" w:rsidP="00DA02FE">
            <w:pPr>
              <w:spacing w:before="120"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  <w:lang w:val="pt-BR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R$ 4.154.093.967,85 de despesas do exercício de 2018 reconhecidas no exercício de 2019</w:t>
            </w:r>
          </w:p>
        </w:tc>
      </w:tr>
      <w:tr w:rsidR="00B7193B" w:rsidRPr="006473A2" w14:paraId="3E911570" w14:textId="77777777" w:rsidTr="00B7193B">
        <w:tc>
          <w:tcPr>
            <w:tcW w:w="0" w:type="auto"/>
            <w:vAlign w:val="center"/>
          </w:tcPr>
          <w:p w14:paraId="766E52CD" w14:textId="5B6D68AE" w:rsidR="00B7193B" w:rsidRPr="006473A2" w:rsidRDefault="00B7193B" w:rsidP="00DA02FE">
            <w:pPr>
              <w:spacing w:before="120" w:after="12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2</w:t>
            </w:r>
          </w:p>
        </w:tc>
        <w:tc>
          <w:tcPr>
            <w:tcW w:w="9020" w:type="dxa"/>
            <w:vAlign w:val="center"/>
          </w:tcPr>
          <w:p w14:paraId="016B74F8" w14:textId="5279EE0C" w:rsidR="00B7193B" w:rsidRPr="006473A2" w:rsidRDefault="00B7193B" w:rsidP="00DA02FE">
            <w:pPr>
              <w:spacing w:before="120" w:after="0" w:line="240" w:lineRule="auto"/>
              <w:ind w:left="0" w:firstLine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473A2">
              <w:rPr>
                <w:rFonts w:ascii="Arial" w:hAnsi="Arial" w:cs="Arial"/>
                <w:color w:val="auto"/>
                <w:sz w:val="20"/>
                <w:szCs w:val="20"/>
                <w:lang w:val="pt-BR"/>
              </w:rPr>
              <w:t xml:space="preserve">R$ 1.889.145.581,87 de ativos e receita relativos a juros </w:t>
            </w:r>
            <w:proofErr w:type="gramStart"/>
            <w:r w:rsidRPr="006473A2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pt-BR"/>
              </w:rPr>
              <w:t>pro</w:t>
            </w:r>
            <w:proofErr w:type="gramEnd"/>
            <w:r w:rsidRPr="006473A2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pt-BR"/>
              </w:rPr>
              <w:t>-rata</w:t>
            </w:r>
            <w:r w:rsidRPr="006473A2">
              <w:rPr>
                <w:rFonts w:ascii="Arial" w:hAnsi="Arial" w:cs="Arial"/>
                <w:color w:val="auto"/>
                <w:sz w:val="20"/>
                <w:szCs w:val="20"/>
                <w:lang w:val="pt-BR"/>
              </w:rPr>
              <w:t xml:space="preserve"> sobre financiamentos a receber reconhecidos em duplicidade</w:t>
            </w:r>
          </w:p>
        </w:tc>
      </w:tr>
      <w:tr w:rsidR="00B7193B" w:rsidRPr="006473A2" w14:paraId="65EA2892" w14:textId="77777777" w:rsidTr="00B7193B">
        <w:tc>
          <w:tcPr>
            <w:tcW w:w="0" w:type="auto"/>
            <w:vAlign w:val="center"/>
          </w:tcPr>
          <w:p w14:paraId="0D57443D" w14:textId="43AD1A5B" w:rsidR="00B7193B" w:rsidRPr="006473A2" w:rsidRDefault="00B7193B" w:rsidP="00A81BE2">
            <w:pPr>
              <w:spacing w:before="120" w:after="12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3</w:t>
            </w:r>
          </w:p>
        </w:tc>
        <w:tc>
          <w:tcPr>
            <w:tcW w:w="9020" w:type="dxa"/>
            <w:vAlign w:val="center"/>
          </w:tcPr>
          <w:p w14:paraId="67E18650" w14:textId="32261A50" w:rsidR="00B7193B" w:rsidRPr="006473A2" w:rsidRDefault="00B7193B" w:rsidP="00A81BE2">
            <w:pPr>
              <w:spacing w:before="120" w:after="0" w:line="240" w:lineRule="auto"/>
              <w:ind w:left="0" w:firstLine="0"/>
              <w:rPr>
                <w:rFonts w:ascii="Arial" w:hAnsi="Arial" w:cs="Arial"/>
                <w:color w:val="auto"/>
                <w:sz w:val="20"/>
                <w:szCs w:val="20"/>
                <w:lang w:val="pt-BR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R$ 923.777.336,56 de ajuste para perdas na conta dívida ativa não tributária não reconhecidos</w:t>
            </w:r>
          </w:p>
        </w:tc>
      </w:tr>
      <w:tr w:rsidR="00B7193B" w:rsidRPr="006473A2" w14:paraId="5897099C" w14:textId="77777777" w:rsidTr="00B7193B">
        <w:tc>
          <w:tcPr>
            <w:tcW w:w="0" w:type="auto"/>
            <w:vAlign w:val="center"/>
          </w:tcPr>
          <w:p w14:paraId="5EF04AF1" w14:textId="111C8C4B" w:rsidR="00B7193B" w:rsidRPr="006473A2" w:rsidRDefault="00B7193B" w:rsidP="00A81BE2">
            <w:pPr>
              <w:spacing w:before="120" w:after="12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4</w:t>
            </w:r>
          </w:p>
        </w:tc>
        <w:tc>
          <w:tcPr>
            <w:tcW w:w="9020" w:type="dxa"/>
            <w:vAlign w:val="center"/>
          </w:tcPr>
          <w:p w14:paraId="4377F6E9" w14:textId="2AAE2DCF" w:rsidR="00B7193B" w:rsidRPr="006473A2" w:rsidRDefault="00B7193B" w:rsidP="00A81BE2">
            <w:pPr>
              <w:spacing w:before="120" w:after="0" w:line="240" w:lineRule="auto"/>
              <w:ind w:left="0" w:firstLine="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473A2">
              <w:rPr>
                <w:rFonts w:ascii="Arial" w:hAnsi="Arial" w:cs="Arial"/>
                <w:color w:val="auto"/>
                <w:sz w:val="20"/>
                <w:szCs w:val="20"/>
                <w:lang w:val="pt-BR"/>
              </w:rPr>
              <w:t>R$ 692.191.619,10 de créditos relativos à participação das entidades mantenedoras no risco do financiamento estudantil não reconhecidos</w:t>
            </w:r>
          </w:p>
        </w:tc>
      </w:tr>
      <w:tr w:rsidR="00B7193B" w:rsidRPr="006473A2" w14:paraId="5D4B6A06" w14:textId="77777777" w:rsidTr="00B7193B">
        <w:tc>
          <w:tcPr>
            <w:tcW w:w="0" w:type="auto"/>
            <w:vAlign w:val="center"/>
          </w:tcPr>
          <w:p w14:paraId="183A74BE" w14:textId="0F3EC5C2" w:rsidR="00B7193B" w:rsidRPr="006473A2" w:rsidRDefault="00B7193B" w:rsidP="00A81BE2">
            <w:pPr>
              <w:spacing w:before="120" w:after="12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5</w:t>
            </w:r>
          </w:p>
        </w:tc>
        <w:tc>
          <w:tcPr>
            <w:tcW w:w="9020" w:type="dxa"/>
            <w:vAlign w:val="center"/>
          </w:tcPr>
          <w:p w14:paraId="159D5359" w14:textId="772023CE" w:rsidR="00B7193B" w:rsidRPr="006473A2" w:rsidRDefault="00B7193B" w:rsidP="00A81BE2">
            <w:pPr>
              <w:spacing w:before="120" w:after="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R$ 608.042.549,18 de ajuste para perdas nas contas crédito por dano ao patrimônio não reconhecidos</w:t>
            </w:r>
          </w:p>
        </w:tc>
      </w:tr>
      <w:tr w:rsidR="00B7193B" w:rsidRPr="006473A2" w14:paraId="1B513811" w14:textId="77777777" w:rsidTr="00B7193B">
        <w:tc>
          <w:tcPr>
            <w:tcW w:w="0" w:type="auto"/>
            <w:vAlign w:val="center"/>
          </w:tcPr>
          <w:p w14:paraId="35589012" w14:textId="076A2F76" w:rsidR="00B7193B" w:rsidRPr="006473A2" w:rsidRDefault="00B7193B" w:rsidP="00A81BE2">
            <w:pPr>
              <w:spacing w:before="120" w:after="12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6</w:t>
            </w:r>
          </w:p>
        </w:tc>
        <w:tc>
          <w:tcPr>
            <w:tcW w:w="9020" w:type="dxa"/>
            <w:vAlign w:val="center"/>
          </w:tcPr>
          <w:p w14:paraId="219BD9AF" w14:textId="5AB2403F" w:rsidR="00B7193B" w:rsidRPr="006473A2" w:rsidRDefault="00B7193B" w:rsidP="00A81BE2">
            <w:pPr>
              <w:spacing w:before="120" w:after="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R$ 262.530.497,68 de empréstimos e financiamentos concedidos não reconhecidos</w:t>
            </w:r>
          </w:p>
        </w:tc>
      </w:tr>
      <w:tr w:rsidR="00B7193B" w:rsidRPr="006473A2" w14:paraId="5ED5A9BD" w14:textId="77777777" w:rsidTr="00B7193B">
        <w:tc>
          <w:tcPr>
            <w:tcW w:w="0" w:type="auto"/>
            <w:vAlign w:val="center"/>
          </w:tcPr>
          <w:p w14:paraId="15E0A85D" w14:textId="363CC4B8" w:rsidR="00B7193B" w:rsidRPr="006473A2" w:rsidRDefault="00B7193B" w:rsidP="00A81BE2">
            <w:pPr>
              <w:spacing w:before="120" w:after="12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7</w:t>
            </w:r>
          </w:p>
        </w:tc>
        <w:tc>
          <w:tcPr>
            <w:tcW w:w="9020" w:type="dxa"/>
            <w:vAlign w:val="center"/>
          </w:tcPr>
          <w:p w14:paraId="66A7B680" w14:textId="03578D0D" w:rsidR="00B7193B" w:rsidRPr="006473A2" w:rsidRDefault="00B7193B" w:rsidP="00A81BE2">
            <w:pPr>
              <w:spacing w:before="120" w:after="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R$ 137.311.597,07 pelo menos, não reconhecidos de livros do PNLD como ativo (estoque)</w:t>
            </w:r>
          </w:p>
        </w:tc>
      </w:tr>
      <w:tr w:rsidR="00B7193B" w:rsidRPr="006473A2" w14:paraId="16E3A8B3" w14:textId="77777777" w:rsidTr="00B7193B">
        <w:tc>
          <w:tcPr>
            <w:tcW w:w="0" w:type="auto"/>
            <w:vAlign w:val="center"/>
          </w:tcPr>
          <w:p w14:paraId="45DD9CBD" w14:textId="54539944" w:rsidR="00B7193B" w:rsidRPr="006473A2" w:rsidRDefault="00B7193B" w:rsidP="00A81BE2">
            <w:pPr>
              <w:spacing w:before="120" w:after="12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8</w:t>
            </w:r>
          </w:p>
        </w:tc>
        <w:tc>
          <w:tcPr>
            <w:tcW w:w="9020" w:type="dxa"/>
            <w:vAlign w:val="center"/>
          </w:tcPr>
          <w:p w14:paraId="61D2D9C5" w14:textId="50CAEF3B" w:rsidR="00B7193B" w:rsidRPr="006473A2" w:rsidRDefault="00B7193B" w:rsidP="00A81BE2">
            <w:pPr>
              <w:spacing w:before="120" w:after="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R$ 43.907.336,65 de juros decorrentes da honra de garantia não reconhecidos e provável ocorrência de dano ao erário de R$ 230.895.232,81</w:t>
            </w:r>
          </w:p>
        </w:tc>
      </w:tr>
      <w:tr w:rsidR="00B7193B" w:rsidRPr="006473A2" w14:paraId="2B8552F2" w14:textId="77777777" w:rsidTr="00B7193B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A2D73A2" w14:textId="195081FB" w:rsidR="00B7193B" w:rsidRPr="006473A2" w:rsidRDefault="00B7193B" w:rsidP="00A81BE2">
            <w:pPr>
              <w:spacing w:before="120" w:after="12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73A2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Seq.</w:t>
            </w:r>
          </w:p>
        </w:tc>
        <w:tc>
          <w:tcPr>
            <w:tcW w:w="9020" w:type="dxa"/>
            <w:shd w:val="clear" w:color="auto" w:fill="D9D9D9" w:themeFill="background1" w:themeFillShade="D9"/>
            <w:vAlign w:val="center"/>
          </w:tcPr>
          <w:p w14:paraId="2CB9C779" w14:textId="7BA28DC0" w:rsidR="00B7193B" w:rsidRPr="006473A2" w:rsidRDefault="00B7193B" w:rsidP="0067543B">
            <w:pPr>
              <w:spacing w:before="120" w:after="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473A2">
              <w:rPr>
                <w:rStyle w:val="Forte"/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  <w:lang w:val="pt-BR"/>
              </w:rPr>
              <w:t>Distorções de classificação, apresentação ou divulgação</w:t>
            </w:r>
            <w:r w:rsidR="00AF6F4C" w:rsidRPr="006473A2">
              <w:rPr>
                <w:rStyle w:val="Forte"/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  <w:lang w:val="pt-BR"/>
              </w:rPr>
              <w:t xml:space="preserve"> </w:t>
            </w:r>
            <w:r w:rsidR="00AF6F4C" w:rsidRPr="006473A2">
              <w:rPr>
                <w:rStyle w:val="Forte"/>
                <w:rFonts w:ascii="Arial" w:hAnsi="Arial" w:cs="Arial"/>
                <w:color w:val="FF0000"/>
                <w:sz w:val="20"/>
                <w:szCs w:val="20"/>
                <w:highlight w:val="lightGray"/>
                <w:shd w:val="clear" w:color="auto" w:fill="FFFFFF"/>
                <w:lang w:val="pt-BR"/>
              </w:rPr>
              <w:t>(Exemplos)</w:t>
            </w:r>
          </w:p>
        </w:tc>
      </w:tr>
      <w:tr w:rsidR="00B7193B" w:rsidRPr="006473A2" w14:paraId="32D4AEC6" w14:textId="77777777" w:rsidTr="00B7193B">
        <w:tc>
          <w:tcPr>
            <w:tcW w:w="0" w:type="auto"/>
            <w:shd w:val="clear" w:color="auto" w:fill="FFFFFF" w:themeFill="background1"/>
            <w:vAlign w:val="center"/>
          </w:tcPr>
          <w:p w14:paraId="1DD6588C" w14:textId="370E3010" w:rsidR="00B7193B" w:rsidRPr="006473A2" w:rsidRDefault="00B7193B" w:rsidP="0067543B">
            <w:pPr>
              <w:spacing w:before="120" w:after="12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9</w:t>
            </w:r>
          </w:p>
        </w:tc>
        <w:tc>
          <w:tcPr>
            <w:tcW w:w="9020" w:type="dxa"/>
            <w:shd w:val="clear" w:color="auto" w:fill="FFFFFF" w:themeFill="background1"/>
            <w:vAlign w:val="center"/>
          </w:tcPr>
          <w:p w14:paraId="430FC43B" w14:textId="3656B592" w:rsidR="00B7193B" w:rsidRPr="006473A2" w:rsidRDefault="00B7193B" w:rsidP="0067543B">
            <w:pPr>
              <w:spacing w:before="120" w:after="0" w:line="240" w:lineRule="auto"/>
              <w:ind w:left="0" w:firstLine="0"/>
              <w:jc w:val="left"/>
              <w:rPr>
                <w:rStyle w:val="Forte"/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  <w:lang w:val="pt-BR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Notas Explicativas não atendem aos requisitos da Estrutura de Relatório Financeiro</w:t>
            </w:r>
          </w:p>
        </w:tc>
      </w:tr>
      <w:tr w:rsidR="00B7193B" w:rsidRPr="006473A2" w14:paraId="274B4E5C" w14:textId="77777777" w:rsidTr="00B7193B">
        <w:tc>
          <w:tcPr>
            <w:tcW w:w="0" w:type="auto"/>
            <w:shd w:val="clear" w:color="auto" w:fill="FFFFFF" w:themeFill="background1"/>
            <w:vAlign w:val="center"/>
          </w:tcPr>
          <w:p w14:paraId="3785A446" w14:textId="1B33D682" w:rsidR="00B7193B" w:rsidRPr="006473A2" w:rsidRDefault="00B7193B" w:rsidP="0067543B">
            <w:pPr>
              <w:spacing w:before="120" w:after="12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7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020" w:type="dxa"/>
            <w:shd w:val="clear" w:color="auto" w:fill="FFFFFF" w:themeFill="background1"/>
            <w:vAlign w:val="center"/>
          </w:tcPr>
          <w:p w14:paraId="1CFBE0C8" w14:textId="0E18EC7A" w:rsidR="00B7193B" w:rsidRPr="006473A2" w:rsidRDefault="00B7193B" w:rsidP="0067543B">
            <w:pPr>
              <w:spacing w:before="120" w:after="0" w:line="240" w:lineRule="auto"/>
              <w:ind w:left="0" w:firstLine="0"/>
              <w:jc w:val="left"/>
              <w:rPr>
                <w:rStyle w:val="Forte"/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  <w:lang w:val="pt-BR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 xml:space="preserve">​​​​​​ Falta de segregação dos juros </w:t>
            </w:r>
            <w:proofErr w:type="gramStart"/>
            <w:r w:rsidRPr="006473A2">
              <w:rPr>
                <w:rFonts w:ascii="Arial" w:hAnsi="Arial" w:cs="Arial"/>
                <w:i/>
                <w:iCs/>
                <w:sz w:val="20"/>
                <w:szCs w:val="20"/>
                <w:lang w:val="pt-BR"/>
              </w:rPr>
              <w:t>pro</w:t>
            </w:r>
            <w:proofErr w:type="gramEnd"/>
            <w:r w:rsidRPr="006473A2">
              <w:rPr>
                <w:rFonts w:ascii="Arial" w:hAnsi="Arial" w:cs="Arial"/>
                <w:i/>
                <w:iCs/>
                <w:sz w:val="20"/>
                <w:szCs w:val="20"/>
                <w:lang w:val="pt-BR"/>
              </w:rPr>
              <w:t>-rata</w:t>
            </w: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 xml:space="preserve"> sobre financiamentos concedidos a receber em circulante e não circulante</w:t>
            </w:r>
          </w:p>
        </w:tc>
      </w:tr>
      <w:tr w:rsidR="00B7193B" w:rsidRPr="006473A2" w14:paraId="2A1A8403" w14:textId="77777777" w:rsidTr="00B7193B"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E7F0D5" w14:textId="77777777" w:rsidR="00B7193B" w:rsidRPr="006473A2" w:rsidRDefault="00B7193B" w:rsidP="0067543B">
            <w:pPr>
              <w:spacing w:before="120" w:after="0" w:line="240" w:lineRule="auto"/>
              <w:ind w:left="0" w:firstLine="0"/>
              <w:jc w:val="left"/>
              <w:rPr>
                <w:rStyle w:val="Forte"/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  <w:lang w:val="pt-BR"/>
              </w:rPr>
            </w:pPr>
          </w:p>
        </w:tc>
        <w:tc>
          <w:tcPr>
            <w:tcW w:w="90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0F2565" w14:textId="1C74B867" w:rsidR="000D1B68" w:rsidRPr="006473A2" w:rsidRDefault="000D1B68" w:rsidP="0067543B">
            <w:pPr>
              <w:spacing w:before="120" w:after="0" w:line="240" w:lineRule="auto"/>
              <w:ind w:left="0" w:firstLine="0"/>
              <w:jc w:val="left"/>
              <w:rPr>
                <w:rStyle w:val="Forte"/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  <w:lang w:val="pt-BR"/>
              </w:rPr>
            </w:pPr>
          </w:p>
        </w:tc>
      </w:tr>
      <w:tr w:rsidR="00B7193B" w:rsidRPr="006473A2" w14:paraId="42078B68" w14:textId="77777777" w:rsidTr="00B7193B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6F54749" w14:textId="653EBBA7" w:rsidR="00B7193B" w:rsidRPr="006473A2" w:rsidRDefault="00B7193B" w:rsidP="0067543B">
            <w:pPr>
              <w:spacing w:before="120" w:after="0" w:line="240" w:lineRule="auto"/>
              <w:ind w:left="0" w:firstLine="0"/>
              <w:jc w:val="left"/>
              <w:rPr>
                <w:rStyle w:val="Forte"/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  <w:lang w:val="pt-BR"/>
              </w:rPr>
            </w:pPr>
            <w:r w:rsidRPr="006473A2">
              <w:rPr>
                <w:rStyle w:val="Forte"/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  <w:lang w:val="pt-BR"/>
              </w:rPr>
              <w:t>Seq.</w:t>
            </w:r>
          </w:p>
        </w:tc>
        <w:tc>
          <w:tcPr>
            <w:tcW w:w="9020" w:type="dxa"/>
            <w:shd w:val="clear" w:color="auto" w:fill="D9D9D9" w:themeFill="background1" w:themeFillShade="D9"/>
            <w:vAlign w:val="center"/>
          </w:tcPr>
          <w:p w14:paraId="0ABC73CC" w14:textId="5AF3D870" w:rsidR="00B7193B" w:rsidRPr="006473A2" w:rsidRDefault="00B7193B" w:rsidP="0067543B">
            <w:pPr>
              <w:spacing w:before="120" w:after="0" w:line="240" w:lineRule="auto"/>
              <w:ind w:left="0" w:firstLine="0"/>
              <w:jc w:val="left"/>
              <w:rPr>
                <w:rStyle w:val="Forte"/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  <w:lang w:val="pt-BR"/>
              </w:rPr>
            </w:pPr>
            <w:r w:rsidRPr="006473A2">
              <w:rPr>
                <w:rStyle w:val="Forte"/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  <w:lang w:val="pt-BR"/>
              </w:rPr>
              <w:t>Desvios de conformidade</w:t>
            </w:r>
            <w:r w:rsidR="00AF6F4C" w:rsidRPr="006473A2">
              <w:rPr>
                <w:rStyle w:val="Forte"/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  <w:lang w:val="pt-BR"/>
              </w:rPr>
              <w:t xml:space="preserve"> </w:t>
            </w:r>
            <w:r w:rsidR="00AF6F4C" w:rsidRPr="006473A2">
              <w:rPr>
                <w:rStyle w:val="Forte"/>
                <w:rFonts w:ascii="Arial" w:hAnsi="Arial" w:cs="Arial"/>
                <w:color w:val="FF0000"/>
                <w:sz w:val="20"/>
                <w:szCs w:val="20"/>
                <w:highlight w:val="lightGray"/>
                <w:shd w:val="clear" w:color="auto" w:fill="FFFFFF"/>
                <w:lang w:val="pt-BR"/>
              </w:rPr>
              <w:t>(Exemplos)</w:t>
            </w:r>
          </w:p>
        </w:tc>
      </w:tr>
      <w:tr w:rsidR="00B7193B" w:rsidRPr="006473A2" w14:paraId="6F063CDD" w14:textId="77777777" w:rsidTr="00B7193B">
        <w:tc>
          <w:tcPr>
            <w:tcW w:w="0" w:type="auto"/>
            <w:shd w:val="clear" w:color="auto" w:fill="FFFFFF" w:themeFill="background1"/>
            <w:vAlign w:val="center"/>
          </w:tcPr>
          <w:p w14:paraId="735F672C" w14:textId="664D7DAF" w:rsidR="00B7193B" w:rsidRPr="006473A2" w:rsidRDefault="00B7193B" w:rsidP="0067543B">
            <w:pPr>
              <w:spacing w:before="120" w:after="12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lastRenderedPageBreak/>
              <w:t>11</w:t>
            </w:r>
          </w:p>
        </w:tc>
        <w:tc>
          <w:tcPr>
            <w:tcW w:w="9020" w:type="dxa"/>
            <w:shd w:val="clear" w:color="auto" w:fill="FFFFFF" w:themeFill="background1"/>
            <w:vAlign w:val="center"/>
          </w:tcPr>
          <w:p w14:paraId="2E05FE18" w14:textId="06817155" w:rsidR="00B7193B" w:rsidRPr="006473A2" w:rsidRDefault="00B7193B" w:rsidP="0067543B">
            <w:pPr>
              <w:spacing w:before="120" w:after="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Divergência no número de matrículas utilizado no cálculo dos coeficientes de distribuição do Salário</w:t>
            </w: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noBreakHyphen/>
              <w:t>educação</w:t>
            </w:r>
          </w:p>
        </w:tc>
      </w:tr>
      <w:tr w:rsidR="00B7193B" w:rsidRPr="006473A2" w14:paraId="4A68FB3B" w14:textId="77777777" w:rsidTr="00B7193B">
        <w:tc>
          <w:tcPr>
            <w:tcW w:w="0" w:type="auto"/>
            <w:shd w:val="clear" w:color="auto" w:fill="FFFFFF" w:themeFill="background1"/>
            <w:vAlign w:val="center"/>
          </w:tcPr>
          <w:p w14:paraId="7A19FA39" w14:textId="45DB9D15" w:rsidR="00B7193B" w:rsidRPr="006473A2" w:rsidRDefault="00B7193B" w:rsidP="0067543B">
            <w:pPr>
              <w:spacing w:before="120" w:after="12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12</w:t>
            </w:r>
          </w:p>
        </w:tc>
        <w:tc>
          <w:tcPr>
            <w:tcW w:w="9020" w:type="dxa"/>
            <w:shd w:val="clear" w:color="auto" w:fill="FFFFFF" w:themeFill="background1"/>
            <w:vAlign w:val="center"/>
          </w:tcPr>
          <w:p w14:paraId="51A161EE" w14:textId="2EE57809" w:rsidR="00B7193B" w:rsidRPr="006473A2" w:rsidRDefault="00B7193B" w:rsidP="0067543B">
            <w:pPr>
              <w:spacing w:before="120" w:after="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Metodologia de cálculo dos repasses do Salário-Educação a estados, municípios e DF discrepante do previsto no art. 15, §1º, da Lei 9.424/96</w:t>
            </w:r>
          </w:p>
        </w:tc>
      </w:tr>
      <w:tr w:rsidR="00B7193B" w:rsidRPr="006473A2" w14:paraId="7A1939C3" w14:textId="77777777" w:rsidTr="00B7193B">
        <w:tc>
          <w:tcPr>
            <w:tcW w:w="0" w:type="auto"/>
            <w:shd w:val="clear" w:color="auto" w:fill="FFFFFF" w:themeFill="background1"/>
            <w:vAlign w:val="center"/>
          </w:tcPr>
          <w:p w14:paraId="785A3B28" w14:textId="152607CC" w:rsidR="00B7193B" w:rsidRPr="006473A2" w:rsidRDefault="00B7193B" w:rsidP="0067543B">
            <w:pPr>
              <w:spacing w:before="120" w:after="12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73A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020" w:type="dxa"/>
            <w:shd w:val="clear" w:color="auto" w:fill="FFFFFF" w:themeFill="background1"/>
            <w:vAlign w:val="center"/>
          </w:tcPr>
          <w:p w14:paraId="389C75AD" w14:textId="343AC6EA" w:rsidR="00B7193B" w:rsidRPr="006473A2" w:rsidRDefault="00B7193B" w:rsidP="0067543B">
            <w:pPr>
              <w:spacing w:before="120" w:after="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Receitas com o Salário-Educação não distribuídas aos entes da federação.</w:t>
            </w:r>
          </w:p>
        </w:tc>
      </w:tr>
      <w:tr w:rsidR="00B7193B" w:rsidRPr="006473A2" w14:paraId="3BC7C676" w14:textId="77777777" w:rsidTr="00B7193B">
        <w:tc>
          <w:tcPr>
            <w:tcW w:w="0" w:type="auto"/>
            <w:shd w:val="clear" w:color="auto" w:fill="FFFFFF" w:themeFill="background1"/>
            <w:vAlign w:val="center"/>
          </w:tcPr>
          <w:p w14:paraId="4C32BCC6" w14:textId="6F05D66D" w:rsidR="00B7193B" w:rsidRPr="006473A2" w:rsidRDefault="00B7193B" w:rsidP="0067543B">
            <w:pPr>
              <w:spacing w:before="120" w:after="12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73A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020" w:type="dxa"/>
            <w:shd w:val="clear" w:color="auto" w:fill="FFFFFF" w:themeFill="background1"/>
            <w:vAlign w:val="center"/>
          </w:tcPr>
          <w:p w14:paraId="5180DC1C" w14:textId="4DEDCA16" w:rsidR="00B7193B" w:rsidRPr="006473A2" w:rsidRDefault="00B7193B" w:rsidP="0067543B">
            <w:pPr>
              <w:spacing w:before="120" w:after="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 xml:space="preserve">Emissão de Certificados Financeiros do Tesouro (CFT-B), relativos ao </w:t>
            </w:r>
            <w:proofErr w:type="spellStart"/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Proies</w:t>
            </w:r>
            <w:proofErr w:type="spellEnd"/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, em desacordo com a legislação</w:t>
            </w:r>
          </w:p>
        </w:tc>
      </w:tr>
      <w:tr w:rsidR="00B7193B" w:rsidRPr="006473A2" w14:paraId="05E5CAD9" w14:textId="77777777" w:rsidTr="00B7193B">
        <w:tc>
          <w:tcPr>
            <w:tcW w:w="0" w:type="auto"/>
            <w:shd w:val="clear" w:color="auto" w:fill="FFFFFF" w:themeFill="background1"/>
            <w:vAlign w:val="center"/>
          </w:tcPr>
          <w:p w14:paraId="1C6309AC" w14:textId="4E001213" w:rsidR="00B7193B" w:rsidRPr="006473A2" w:rsidRDefault="00B7193B" w:rsidP="0067543B">
            <w:pPr>
              <w:spacing w:before="120" w:after="12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7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020" w:type="dxa"/>
            <w:shd w:val="clear" w:color="auto" w:fill="FFFFFF" w:themeFill="background1"/>
            <w:vAlign w:val="center"/>
          </w:tcPr>
          <w:p w14:paraId="1E76CED9" w14:textId="1CED022B" w:rsidR="00B7193B" w:rsidRPr="006473A2" w:rsidRDefault="00AF6F4C" w:rsidP="0067543B">
            <w:pPr>
              <w:spacing w:before="120" w:after="0" w:line="24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6473A2">
              <w:rPr>
                <w:rFonts w:ascii="Arial" w:hAnsi="Arial" w:cs="Arial"/>
                <w:sz w:val="20"/>
                <w:szCs w:val="20"/>
                <w:lang w:val="pt-BR"/>
              </w:rPr>
              <w:t>Não conformidade de pagamentos relacionados à execução ...</w:t>
            </w:r>
          </w:p>
        </w:tc>
      </w:tr>
    </w:tbl>
    <w:p w14:paraId="642241F9" w14:textId="0F42412F" w:rsidR="00F14820" w:rsidRPr="006473A2" w:rsidRDefault="00F14820" w:rsidP="000D1B68">
      <w:pPr>
        <w:spacing w:after="160" w:line="259" w:lineRule="auto"/>
        <w:ind w:left="0" w:firstLine="0"/>
        <w:jc w:val="left"/>
        <w:rPr>
          <w:rFonts w:ascii="Arial" w:hAnsi="Arial" w:cs="Arial"/>
        </w:rPr>
      </w:pPr>
    </w:p>
    <w:p w14:paraId="7595988E" w14:textId="77777777" w:rsidR="00065CC1" w:rsidRPr="006473A2" w:rsidRDefault="00065CC1" w:rsidP="00065CC1">
      <w:pPr>
        <w:spacing w:after="160" w:line="259" w:lineRule="auto"/>
        <w:ind w:left="0" w:firstLine="0"/>
        <w:jc w:val="left"/>
        <w:rPr>
          <w:rFonts w:ascii="Arial" w:hAnsi="Arial" w:cs="Arial"/>
        </w:rPr>
      </w:pPr>
    </w:p>
    <w:sectPr w:rsidR="00065CC1" w:rsidRPr="006473A2" w:rsidSect="00B7193B">
      <w:headerReference w:type="default" r:id="rId8"/>
      <w:pgSz w:w="11906" w:h="16838"/>
      <w:pgMar w:top="1871" w:right="851" w:bottom="765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FB369" w14:textId="77777777" w:rsidR="007234B3" w:rsidRDefault="007234B3" w:rsidP="005B49F3">
      <w:pPr>
        <w:spacing w:after="0" w:line="240" w:lineRule="auto"/>
      </w:pPr>
      <w:r>
        <w:separator/>
      </w:r>
    </w:p>
  </w:endnote>
  <w:endnote w:type="continuationSeparator" w:id="0">
    <w:p w14:paraId="7EB9F585" w14:textId="77777777" w:rsidR="007234B3" w:rsidRDefault="007234B3" w:rsidP="005B4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67B0F" w14:textId="77777777" w:rsidR="007234B3" w:rsidRDefault="007234B3" w:rsidP="005B49F3">
      <w:pPr>
        <w:spacing w:after="0" w:line="240" w:lineRule="auto"/>
      </w:pPr>
      <w:r>
        <w:separator/>
      </w:r>
    </w:p>
  </w:footnote>
  <w:footnote w:type="continuationSeparator" w:id="0">
    <w:p w14:paraId="7EC476E4" w14:textId="77777777" w:rsidR="007234B3" w:rsidRDefault="007234B3" w:rsidP="005B4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5643C" w14:textId="4D9AE006" w:rsidR="001E387C" w:rsidRDefault="001E387C">
    <w:pPr>
      <w:pStyle w:val="Cabealho"/>
    </w:pPr>
    <w:r w:rsidRPr="0075336A">
      <w:rPr>
        <w:rFonts w:asciiTheme="minorHAnsi" w:eastAsiaTheme="minorHAnsi" w:hAnsiTheme="minorHAnsi" w:cstheme="minorBidi"/>
        <w:noProof/>
        <w:color w:val="auto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DAFD90F" wp14:editId="19A57099">
              <wp:simplePos x="0" y="0"/>
              <wp:positionH relativeFrom="margin">
                <wp:align>right</wp:align>
              </wp:positionH>
              <wp:positionV relativeFrom="paragraph">
                <wp:posOffset>197485</wp:posOffset>
              </wp:positionV>
              <wp:extent cx="371475" cy="285750"/>
              <wp:effectExtent l="0" t="0" r="9525" b="0"/>
              <wp:wrapNone/>
              <wp:docPr id="18" name="Caixa de Text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1475" cy="2857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4D85D8D" w14:textId="77777777" w:rsidR="001E387C" w:rsidRPr="005F066A" w:rsidRDefault="001E387C" w:rsidP="0075336A">
                          <w:pPr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 w:rsidRPr="005F066A"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F066A">
                            <w:rPr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F066A"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95B87">
                            <w:rPr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5F066A"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DAFD90F" id="_x0000_t202" coordsize="21600,21600" o:spt="202" path="m,l,21600r21600,l21600,xe">
              <v:stroke joinstyle="miter"/>
              <v:path gradientshapeok="t" o:connecttype="rect"/>
            </v:shapetype>
            <v:shape id="Caixa de Texto 18" o:spid="_x0000_s1026" type="#_x0000_t202" style="position:absolute;left:0;text-align:left;margin-left:-21.95pt;margin-top:15.55pt;width:29.25pt;height:22.5pt;z-index:25167769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" fillcolor="window" stroked="f" strokeweight=".5pt">
              <v:textbox>
                <w:txbxContent>
                  <w:p w14:paraId="54D85D8D" w14:textId="77777777" w:rsidR="001E387C" w:rsidRPr="005F066A" w:rsidRDefault="001E387C" w:rsidP="0075336A">
                    <w:pPr>
                      <w:jc w:val="right"/>
                      <w:rPr>
                        <w:sz w:val="24"/>
                        <w:szCs w:val="24"/>
                      </w:rPr>
                    </w:pPr>
                    <w:r w:rsidRPr="005F066A">
                      <w:rPr>
                        <w:sz w:val="24"/>
                        <w:szCs w:val="24"/>
                      </w:rPr>
                      <w:fldChar w:fldCharType="begin"/>
                    </w:r>
                    <w:r w:rsidRPr="005F066A">
                      <w:rPr>
                        <w:sz w:val="24"/>
                        <w:szCs w:val="24"/>
                      </w:rPr>
                      <w:instrText>PAGE   \* MERGEFORMAT</w:instrText>
                    </w:r>
                    <w:r w:rsidRPr="005F066A">
                      <w:rPr>
                        <w:sz w:val="24"/>
                        <w:szCs w:val="24"/>
                      </w:rPr>
                      <w:fldChar w:fldCharType="separate"/>
                    </w:r>
                    <w:r w:rsidR="00695B87">
                      <w:rPr>
                        <w:noProof/>
                        <w:sz w:val="24"/>
                        <w:szCs w:val="24"/>
                      </w:rPr>
                      <w:t>2</w:t>
                    </w:r>
                    <w:r w:rsidRPr="005F066A"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FB2F1B">
      <w:rPr>
        <w:noProof/>
      </w:rPr>
      <w:drawing>
        <wp:inline distT="0" distB="0" distL="0" distR="0" wp14:anchorId="11C549A5" wp14:editId="4991245D">
          <wp:extent cx="5730875" cy="1078865"/>
          <wp:effectExtent l="0" t="0" r="3175" b="698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078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10C0C"/>
    <w:multiLevelType w:val="hybridMultilevel"/>
    <w:tmpl w:val="A170CB32"/>
    <w:lvl w:ilvl="0" w:tplc="0416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F63C8"/>
    <w:multiLevelType w:val="hybridMultilevel"/>
    <w:tmpl w:val="3E1C0D92"/>
    <w:lvl w:ilvl="0" w:tplc="76F4DCA2">
      <w:start w:val="1"/>
      <w:numFmt w:val="bullet"/>
      <w:pStyle w:val="IFACBulletIndented2"/>
      <w:lvlText w:val="o"/>
      <w:lvlJc w:val="left"/>
      <w:pPr>
        <w:ind w:left="720" w:hanging="360"/>
      </w:pPr>
      <w:rPr>
        <w:rFonts w:ascii="Courier New" w:hAnsi="Courier New" w:cs="Courier New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13DB4"/>
    <w:multiLevelType w:val="hybridMultilevel"/>
    <w:tmpl w:val="2528BE2A"/>
    <w:lvl w:ilvl="0" w:tplc="2EB2A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B1AED"/>
    <w:multiLevelType w:val="hybridMultilevel"/>
    <w:tmpl w:val="58762A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C19BB"/>
    <w:multiLevelType w:val="hybridMultilevel"/>
    <w:tmpl w:val="5CE07F66"/>
    <w:lvl w:ilvl="0" w:tplc="0082C32E">
      <w:start w:val="4"/>
      <w:numFmt w:val="decimal"/>
      <w:pStyle w:val="IFACNumberAndLetter"/>
      <w:lvlText w:val="A%1."/>
      <w:lvlJc w:val="left"/>
      <w:pPr>
        <w:ind w:left="547" w:hanging="360"/>
      </w:pPr>
      <w:rPr>
        <w:rFonts w:ascii="Times New Roman" w:hAnsi="Times New Roman" w:cs="Arial" w:hint="default"/>
        <w:b w:val="0"/>
        <w:i w:val="0"/>
        <w:strike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77141E"/>
    <w:multiLevelType w:val="multilevel"/>
    <w:tmpl w:val="AB60170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1AD8741D"/>
    <w:multiLevelType w:val="hybridMultilevel"/>
    <w:tmpl w:val="9412EFD4"/>
    <w:lvl w:ilvl="0" w:tplc="DB2CDF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33588"/>
    <w:multiLevelType w:val="hybridMultilevel"/>
    <w:tmpl w:val="D26E72B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5775B"/>
    <w:multiLevelType w:val="hybridMultilevel"/>
    <w:tmpl w:val="D20CB422"/>
    <w:lvl w:ilvl="0" w:tplc="0416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185E3B"/>
    <w:multiLevelType w:val="hybridMultilevel"/>
    <w:tmpl w:val="3D5A1E14"/>
    <w:lvl w:ilvl="0" w:tplc="E4923C56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C0EB9"/>
    <w:multiLevelType w:val="multilevel"/>
    <w:tmpl w:val="0E32D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32975BD"/>
    <w:multiLevelType w:val="hybridMultilevel"/>
    <w:tmpl w:val="71D2FB78"/>
    <w:lvl w:ilvl="0" w:tplc="04160017">
      <w:start w:val="1"/>
      <w:numFmt w:val="lowerLetter"/>
      <w:lvlText w:val="%1)"/>
      <w:lvlJc w:val="left"/>
      <w:pPr>
        <w:ind w:left="1494" w:hanging="360"/>
      </w:p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45C01F6E"/>
    <w:multiLevelType w:val="hybridMultilevel"/>
    <w:tmpl w:val="B4EEA4D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55477"/>
    <w:multiLevelType w:val="hybridMultilevel"/>
    <w:tmpl w:val="45F2A7D6"/>
    <w:lvl w:ilvl="0" w:tplc="40E6204E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8AEE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0CD0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FAFE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C659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9C46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569E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E8CC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E45A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68E4D96"/>
    <w:multiLevelType w:val="hybridMultilevel"/>
    <w:tmpl w:val="84A4EE06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7A06485"/>
    <w:multiLevelType w:val="multilevel"/>
    <w:tmpl w:val="4FEA5D8E"/>
    <w:styleLink w:val="IFACNumberedList"/>
    <w:lvl w:ilvl="0">
      <w:start w:val="1"/>
      <w:numFmt w:val="decimal"/>
      <w:lvlText w:val="%1."/>
      <w:lvlJc w:val="left"/>
      <w:pPr>
        <w:ind w:left="547" w:hanging="547"/>
      </w:pPr>
      <w:rPr>
        <w:rFonts w:hint="default"/>
      </w:rPr>
    </w:lvl>
    <w:lvl w:ilvl="1">
      <w:start w:val="1"/>
      <w:numFmt w:val="lowerLetter"/>
      <w:pStyle w:val="Lista2"/>
      <w:lvlText w:val="(%2)"/>
      <w:lvlJc w:val="left"/>
      <w:pPr>
        <w:ind w:left="1094" w:hanging="547"/>
      </w:pPr>
      <w:rPr>
        <w:rFonts w:hint="default"/>
      </w:rPr>
    </w:lvl>
    <w:lvl w:ilvl="2">
      <w:start w:val="1"/>
      <w:numFmt w:val="lowerRoman"/>
      <w:pStyle w:val="Lista3"/>
      <w:lvlText w:val="(%3)"/>
      <w:lvlJc w:val="left"/>
      <w:pPr>
        <w:ind w:left="1641" w:hanging="547"/>
      </w:pPr>
      <w:rPr>
        <w:rFonts w:hint="default"/>
      </w:rPr>
    </w:lvl>
    <w:lvl w:ilvl="3">
      <w:start w:val="1"/>
      <w:numFmt w:val="lowerLetter"/>
      <w:pStyle w:val="Lista4"/>
      <w:lvlText w:val="%4."/>
      <w:lvlJc w:val="left"/>
      <w:pPr>
        <w:ind w:left="2188" w:hanging="547"/>
      </w:pPr>
      <w:rPr>
        <w:rFonts w:hint="default"/>
      </w:rPr>
    </w:lvl>
    <w:lvl w:ilvl="4">
      <w:start w:val="1"/>
      <w:numFmt w:val="lowerRoman"/>
      <w:pStyle w:val="Lista5"/>
      <w:lvlText w:val="%5."/>
      <w:lvlJc w:val="left"/>
      <w:pPr>
        <w:ind w:left="2735" w:hanging="54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82" w:hanging="54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54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54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23" w:hanging="547"/>
      </w:pPr>
      <w:rPr>
        <w:rFonts w:hint="default"/>
      </w:rPr>
    </w:lvl>
  </w:abstractNum>
  <w:abstractNum w:abstractNumId="16" w15:restartNumberingAfterBreak="0">
    <w:nsid w:val="61165A4D"/>
    <w:multiLevelType w:val="multilevel"/>
    <w:tmpl w:val="59FC8808"/>
    <w:lvl w:ilvl="0">
      <w:start w:val="1"/>
      <w:numFmt w:val="decimal"/>
      <w:lvlText w:val="%1."/>
      <w:lvlJc w:val="left"/>
      <w:pPr>
        <w:ind w:left="667" w:hanging="548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>
      <w:start w:val="1"/>
      <w:numFmt w:val="lowerLetter"/>
      <w:lvlText w:val="(%2)"/>
      <w:lvlJc w:val="left"/>
      <w:pPr>
        <w:ind w:left="1200" w:hanging="541"/>
      </w:pPr>
      <w:rPr>
        <w:rFonts w:ascii="Times New Roman" w:eastAsia="Arial" w:hAnsi="Times New Roman" w:cs="Times New Roman" w:hint="default"/>
        <w:w w:val="99"/>
        <w:sz w:val="24"/>
        <w:szCs w:val="24"/>
      </w:rPr>
    </w:lvl>
    <w:lvl w:ilvl="2">
      <w:start w:val="1"/>
      <w:numFmt w:val="lowerRoman"/>
      <w:lvlText w:val="(%3)"/>
      <w:lvlJc w:val="left"/>
      <w:pPr>
        <w:ind w:left="1761" w:hanging="548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1760" w:hanging="5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80" w:hanging="5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00" w:hanging="5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20" w:hanging="5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40" w:hanging="5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0" w:hanging="548"/>
      </w:pPr>
      <w:rPr>
        <w:rFonts w:hint="default"/>
      </w:rPr>
    </w:lvl>
  </w:abstractNum>
  <w:abstractNum w:abstractNumId="17" w15:restartNumberingAfterBreak="0">
    <w:nsid w:val="62D24E73"/>
    <w:multiLevelType w:val="hybridMultilevel"/>
    <w:tmpl w:val="9FF06304"/>
    <w:lvl w:ilvl="0" w:tplc="6A6E6CAE">
      <w:start w:val="1"/>
      <w:numFmt w:val="lowerLetter"/>
      <w:lvlText w:val="(%1)"/>
      <w:lvlJc w:val="left"/>
      <w:pPr>
        <w:ind w:left="1211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3F5BB4"/>
    <w:multiLevelType w:val="hybridMultilevel"/>
    <w:tmpl w:val="43F471C2"/>
    <w:lvl w:ilvl="0" w:tplc="A0C06628">
      <w:start w:val="2"/>
      <w:numFmt w:val="decimal"/>
      <w:lvlText w:val="%1."/>
      <w:lvlJc w:val="left"/>
      <w:pPr>
        <w:ind w:left="1865" w:hanging="360"/>
      </w:pPr>
      <w:rPr>
        <w:rFonts w:hint="default"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51" w:hanging="360"/>
      </w:pPr>
    </w:lvl>
    <w:lvl w:ilvl="2" w:tplc="0416001B" w:tentative="1">
      <w:start w:val="1"/>
      <w:numFmt w:val="lowerRoman"/>
      <w:lvlText w:val="%3."/>
      <w:lvlJc w:val="right"/>
      <w:pPr>
        <w:ind w:left="2171" w:hanging="180"/>
      </w:pPr>
    </w:lvl>
    <w:lvl w:ilvl="3" w:tplc="0416000F" w:tentative="1">
      <w:start w:val="1"/>
      <w:numFmt w:val="decimal"/>
      <w:lvlText w:val="%4."/>
      <w:lvlJc w:val="left"/>
      <w:pPr>
        <w:ind w:left="2891" w:hanging="360"/>
      </w:pPr>
    </w:lvl>
    <w:lvl w:ilvl="4" w:tplc="04160019" w:tentative="1">
      <w:start w:val="1"/>
      <w:numFmt w:val="lowerLetter"/>
      <w:lvlText w:val="%5."/>
      <w:lvlJc w:val="left"/>
      <w:pPr>
        <w:ind w:left="3611" w:hanging="360"/>
      </w:pPr>
    </w:lvl>
    <w:lvl w:ilvl="5" w:tplc="0416001B" w:tentative="1">
      <w:start w:val="1"/>
      <w:numFmt w:val="lowerRoman"/>
      <w:lvlText w:val="%6."/>
      <w:lvlJc w:val="right"/>
      <w:pPr>
        <w:ind w:left="4331" w:hanging="180"/>
      </w:pPr>
    </w:lvl>
    <w:lvl w:ilvl="6" w:tplc="0416000F" w:tentative="1">
      <w:start w:val="1"/>
      <w:numFmt w:val="decimal"/>
      <w:lvlText w:val="%7."/>
      <w:lvlJc w:val="left"/>
      <w:pPr>
        <w:ind w:left="5051" w:hanging="360"/>
      </w:pPr>
    </w:lvl>
    <w:lvl w:ilvl="7" w:tplc="04160019" w:tentative="1">
      <w:start w:val="1"/>
      <w:numFmt w:val="lowerLetter"/>
      <w:lvlText w:val="%8."/>
      <w:lvlJc w:val="left"/>
      <w:pPr>
        <w:ind w:left="5771" w:hanging="360"/>
      </w:pPr>
    </w:lvl>
    <w:lvl w:ilvl="8" w:tplc="0416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9" w15:restartNumberingAfterBreak="0">
    <w:nsid w:val="662E2EEF"/>
    <w:multiLevelType w:val="hybridMultilevel"/>
    <w:tmpl w:val="1488FA20"/>
    <w:lvl w:ilvl="0" w:tplc="3BF4719E">
      <w:start w:val="1"/>
      <w:numFmt w:val="lowerLetter"/>
      <w:lvlText w:val="(%1)"/>
      <w:lvlJc w:val="left"/>
      <w:pPr>
        <w:ind w:left="987" w:hanging="4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F667B0A"/>
    <w:multiLevelType w:val="hybridMultilevel"/>
    <w:tmpl w:val="184EF1E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6FDE58C5"/>
    <w:multiLevelType w:val="hybridMultilevel"/>
    <w:tmpl w:val="DD8A7F3A"/>
    <w:lvl w:ilvl="0" w:tplc="437432A0">
      <w:start w:val="1"/>
      <w:numFmt w:val="bullet"/>
      <w:pStyle w:val="IFACBulletIndented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EF57A2"/>
    <w:multiLevelType w:val="hybridMultilevel"/>
    <w:tmpl w:val="7944AA9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084606"/>
    <w:multiLevelType w:val="hybridMultilevel"/>
    <w:tmpl w:val="245E924A"/>
    <w:lvl w:ilvl="0" w:tplc="DD9C4D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51C7D"/>
    <w:multiLevelType w:val="hybridMultilevel"/>
    <w:tmpl w:val="5B089C82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C4A0412"/>
    <w:multiLevelType w:val="hybridMultilevel"/>
    <w:tmpl w:val="B6CAD944"/>
    <w:lvl w:ilvl="0" w:tplc="0416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EE2383"/>
    <w:multiLevelType w:val="hybridMultilevel"/>
    <w:tmpl w:val="A87AF7D2"/>
    <w:lvl w:ilvl="0" w:tplc="A0C06628">
      <w:start w:val="2"/>
      <w:numFmt w:val="decimal"/>
      <w:lvlText w:val="%1."/>
      <w:lvlJc w:val="left"/>
      <w:pPr>
        <w:ind w:left="1865" w:hanging="360"/>
      </w:pPr>
      <w:rPr>
        <w:rFonts w:hint="default"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51" w:hanging="360"/>
      </w:pPr>
    </w:lvl>
    <w:lvl w:ilvl="2" w:tplc="0416001B" w:tentative="1">
      <w:start w:val="1"/>
      <w:numFmt w:val="lowerRoman"/>
      <w:lvlText w:val="%3."/>
      <w:lvlJc w:val="right"/>
      <w:pPr>
        <w:ind w:left="2171" w:hanging="180"/>
      </w:pPr>
    </w:lvl>
    <w:lvl w:ilvl="3" w:tplc="0416000F" w:tentative="1">
      <w:start w:val="1"/>
      <w:numFmt w:val="decimal"/>
      <w:lvlText w:val="%4."/>
      <w:lvlJc w:val="left"/>
      <w:pPr>
        <w:ind w:left="2891" w:hanging="360"/>
      </w:pPr>
    </w:lvl>
    <w:lvl w:ilvl="4" w:tplc="04160019" w:tentative="1">
      <w:start w:val="1"/>
      <w:numFmt w:val="lowerLetter"/>
      <w:lvlText w:val="%5."/>
      <w:lvlJc w:val="left"/>
      <w:pPr>
        <w:ind w:left="3611" w:hanging="360"/>
      </w:pPr>
    </w:lvl>
    <w:lvl w:ilvl="5" w:tplc="0416001B" w:tentative="1">
      <w:start w:val="1"/>
      <w:numFmt w:val="lowerRoman"/>
      <w:lvlText w:val="%6."/>
      <w:lvlJc w:val="right"/>
      <w:pPr>
        <w:ind w:left="4331" w:hanging="180"/>
      </w:pPr>
    </w:lvl>
    <w:lvl w:ilvl="6" w:tplc="0416000F" w:tentative="1">
      <w:start w:val="1"/>
      <w:numFmt w:val="decimal"/>
      <w:lvlText w:val="%7."/>
      <w:lvlJc w:val="left"/>
      <w:pPr>
        <w:ind w:left="5051" w:hanging="360"/>
      </w:pPr>
    </w:lvl>
    <w:lvl w:ilvl="7" w:tplc="04160019" w:tentative="1">
      <w:start w:val="1"/>
      <w:numFmt w:val="lowerLetter"/>
      <w:lvlText w:val="%8."/>
      <w:lvlJc w:val="left"/>
      <w:pPr>
        <w:ind w:left="5771" w:hanging="360"/>
      </w:pPr>
    </w:lvl>
    <w:lvl w:ilvl="8" w:tplc="0416001B" w:tentative="1">
      <w:start w:val="1"/>
      <w:numFmt w:val="lowerRoman"/>
      <w:lvlText w:val="%9."/>
      <w:lvlJc w:val="right"/>
      <w:pPr>
        <w:ind w:left="6491" w:hanging="180"/>
      </w:pPr>
    </w:lvl>
  </w:abstractNum>
  <w:num w:numId="1">
    <w:abstractNumId w:val="13"/>
  </w:num>
  <w:num w:numId="2">
    <w:abstractNumId w:val="15"/>
  </w:num>
  <w:num w:numId="3">
    <w:abstractNumId w:val="15"/>
    <w:lvlOverride w:ilvl="0">
      <w:lvl w:ilvl="0">
        <w:start w:val="1"/>
        <w:numFmt w:val="decimal"/>
        <w:lvlText w:val="%1."/>
        <w:lvlJc w:val="left"/>
        <w:pPr>
          <w:ind w:left="547" w:hanging="547"/>
        </w:pPr>
      </w:lvl>
    </w:lvlOverride>
    <w:lvlOverride w:ilvl="1">
      <w:lvl w:ilvl="1">
        <w:start w:val="1"/>
        <w:numFmt w:val="lowerLetter"/>
        <w:pStyle w:val="Lista2"/>
        <w:lvlText w:val="(%2)"/>
        <w:lvlJc w:val="left"/>
        <w:pPr>
          <w:ind w:left="1094" w:hanging="547"/>
        </w:pPr>
      </w:lvl>
    </w:lvlOverride>
    <w:lvlOverride w:ilvl="2">
      <w:lvl w:ilvl="2">
        <w:start w:val="1"/>
        <w:numFmt w:val="lowerRoman"/>
        <w:pStyle w:val="Lista3"/>
        <w:lvlText w:val="(%3)"/>
        <w:lvlJc w:val="left"/>
        <w:pPr>
          <w:ind w:left="1641" w:hanging="547"/>
        </w:pPr>
      </w:lvl>
    </w:lvlOverride>
    <w:lvlOverride w:ilvl="3">
      <w:lvl w:ilvl="3">
        <w:start w:val="1"/>
        <w:numFmt w:val="lowerLetter"/>
        <w:pStyle w:val="Lista4"/>
        <w:lvlText w:val="%4."/>
        <w:lvlJc w:val="left"/>
        <w:pPr>
          <w:ind w:left="2188" w:hanging="547"/>
        </w:pPr>
      </w:lvl>
    </w:lvlOverride>
    <w:lvlOverride w:ilvl="4">
      <w:lvl w:ilvl="4">
        <w:start w:val="1"/>
        <w:numFmt w:val="lowerRoman"/>
        <w:pStyle w:val="Lista5"/>
        <w:lvlText w:val="%5."/>
        <w:lvlJc w:val="left"/>
        <w:pPr>
          <w:ind w:left="2735" w:hanging="547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3282" w:hanging="54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3829" w:hanging="547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4376" w:hanging="547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4923" w:hanging="547"/>
        </w:pPr>
      </w:lvl>
    </w:lvlOverride>
  </w:num>
  <w:num w:numId="4">
    <w:abstractNumId w:val="19"/>
  </w:num>
  <w:num w:numId="5">
    <w:abstractNumId w:val="18"/>
  </w:num>
  <w:num w:numId="6">
    <w:abstractNumId w:val="11"/>
  </w:num>
  <w:num w:numId="7">
    <w:abstractNumId w:val="26"/>
  </w:num>
  <w:num w:numId="8">
    <w:abstractNumId w:val="14"/>
  </w:num>
  <w:num w:numId="9">
    <w:abstractNumId w:val="12"/>
  </w:num>
  <w:num w:numId="10">
    <w:abstractNumId w:val="10"/>
  </w:num>
  <w:num w:numId="11">
    <w:abstractNumId w:val="20"/>
  </w:num>
  <w:num w:numId="12">
    <w:abstractNumId w:val="24"/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21"/>
  </w:num>
  <w:num w:numId="18">
    <w:abstractNumId w:val="4"/>
  </w:num>
  <w:num w:numId="19">
    <w:abstractNumId w:val="1"/>
  </w:num>
  <w:num w:numId="20">
    <w:abstractNumId w:val="4"/>
    <w:lvlOverride w:ilvl="0">
      <w:startOverride w:val="5"/>
    </w:lvlOverride>
  </w:num>
  <w:num w:numId="21">
    <w:abstractNumId w:val="3"/>
  </w:num>
  <w:num w:numId="22">
    <w:abstractNumId w:val="7"/>
  </w:num>
  <w:num w:numId="23">
    <w:abstractNumId w:val="22"/>
  </w:num>
  <w:num w:numId="24">
    <w:abstractNumId w:val="6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"/>
  </w:num>
  <w:num w:numId="28">
    <w:abstractNumId w:val="23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BC9"/>
    <w:rsid w:val="0000646B"/>
    <w:rsid w:val="00013893"/>
    <w:rsid w:val="00014659"/>
    <w:rsid w:val="0002088E"/>
    <w:rsid w:val="000330AB"/>
    <w:rsid w:val="00052A2C"/>
    <w:rsid w:val="00065CC1"/>
    <w:rsid w:val="0007772E"/>
    <w:rsid w:val="00081B29"/>
    <w:rsid w:val="00084DD0"/>
    <w:rsid w:val="000B4499"/>
    <w:rsid w:val="000C33BE"/>
    <w:rsid w:val="000D1B68"/>
    <w:rsid w:val="000D40A3"/>
    <w:rsid w:val="000F3425"/>
    <w:rsid w:val="000F3B19"/>
    <w:rsid w:val="000F3C90"/>
    <w:rsid w:val="001134C2"/>
    <w:rsid w:val="001264B1"/>
    <w:rsid w:val="00130A7B"/>
    <w:rsid w:val="0013284E"/>
    <w:rsid w:val="00144EAA"/>
    <w:rsid w:val="001551C2"/>
    <w:rsid w:val="00166DD9"/>
    <w:rsid w:val="001732F6"/>
    <w:rsid w:val="00185BC9"/>
    <w:rsid w:val="001A5E9C"/>
    <w:rsid w:val="001B10C9"/>
    <w:rsid w:val="001B2687"/>
    <w:rsid w:val="001B2AF7"/>
    <w:rsid w:val="001B3854"/>
    <w:rsid w:val="001C3929"/>
    <w:rsid w:val="001D159F"/>
    <w:rsid w:val="001D3C30"/>
    <w:rsid w:val="001E387C"/>
    <w:rsid w:val="001E3B0C"/>
    <w:rsid w:val="001E6DE5"/>
    <w:rsid w:val="001F3030"/>
    <w:rsid w:val="00210FA2"/>
    <w:rsid w:val="00211FF9"/>
    <w:rsid w:val="0021760B"/>
    <w:rsid w:val="00220C37"/>
    <w:rsid w:val="002217B5"/>
    <w:rsid w:val="002254DB"/>
    <w:rsid w:val="00246E36"/>
    <w:rsid w:val="002554A0"/>
    <w:rsid w:val="002560EC"/>
    <w:rsid w:val="00256BE0"/>
    <w:rsid w:val="00273A7C"/>
    <w:rsid w:val="00283408"/>
    <w:rsid w:val="002D0677"/>
    <w:rsid w:val="002D3F6A"/>
    <w:rsid w:val="002E47FB"/>
    <w:rsid w:val="002E7BCC"/>
    <w:rsid w:val="00316443"/>
    <w:rsid w:val="00343067"/>
    <w:rsid w:val="00373700"/>
    <w:rsid w:val="003738F6"/>
    <w:rsid w:val="00384C47"/>
    <w:rsid w:val="00396E6A"/>
    <w:rsid w:val="003A1DC4"/>
    <w:rsid w:val="003A711B"/>
    <w:rsid w:val="003C1616"/>
    <w:rsid w:val="003C4F07"/>
    <w:rsid w:val="003D54AC"/>
    <w:rsid w:val="003D77B6"/>
    <w:rsid w:val="0041319B"/>
    <w:rsid w:val="004330CD"/>
    <w:rsid w:val="00442C97"/>
    <w:rsid w:val="0045385F"/>
    <w:rsid w:val="0048221A"/>
    <w:rsid w:val="00485999"/>
    <w:rsid w:val="00496569"/>
    <w:rsid w:val="004B35A1"/>
    <w:rsid w:val="004B51FC"/>
    <w:rsid w:val="004B75D6"/>
    <w:rsid w:val="004E06EA"/>
    <w:rsid w:val="005022C7"/>
    <w:rsid w:val="00503D63"/>
    <w:rsid w:val="00506452"/>
    <w:rsid w:val="00510174"/>
    <w:rsid w:val="0051378A"/>
    <w:rsid w:val="0052657E"/>
    <w:rsid w:val="0053765A"/>
    <w:rsid w:val="0054343D"/>
    <w:rsid w:val="00561726"/>
    <w:rsid w:val="0056522A"/>
    <w:rsid w:val="005A523A"/>
    <w:rsid w:val="005B49F3"/>
    <w:rsid w:val="005C3291"/>
    <w:rsid w:val="005D56D8"/>
    <w:rsid w:val="006033A2"/>
    <w:rsid w:val="006279C1"/>
    <w:rsid w:val="00630226"/>
    <w:rsid w:val="00631F1E"/>
    <w:rsid w:val="006431A7"/>
    <w:rsid w:val="006453B0"/>
    <w:rsid w:val="006473A2"/>
    <w:rsid w:val="00660FF6"/>
    <w:rsid w:val="006631B2"/>
    <w:rsid w:val="0067543B"/>
    <w:rsid w:val="00691C45"/>
    <w:rsid w:val="00695B87"/>
    <w:rsid w:val="006A3DCA"/>
    <w:rsid w:val="006A5D23"/>
    <w:rsid w:val="006D019E"/>
    <w:rsid w:val="006D5C82"/>
    <w:rsid w:val="006F3C2D"/>
    <w:rsid w:val="00721120"/>
    <w:rsid w:val="007234B3"/>
    <w:rsid w:val="00731313"/>
    <w:rsid w:val="00734EF5"/>
    <w:rsid w:val="0075336A"/>
    <w:rsid w:val="00755E98"/>
    <w:rsid w:val="00764655"/>
    <w:rsid w:val="00767790"/>
    <w:rsid w:val="007979BE"/>
    <w:rsid w:val="00797BEB"/>
    <w:rsid w:val="007B3AAA"/>
    <w:rsid w:val="007C6DB2"/>
    <w:rsid w:val="007D19BF"/>
    <w:rsid w:val="007D7393"/>
    <w:rsid w:val="007F16FC"/>
    <w:rsid w:val="00824315"/>
    <w:rsid w:val="00826022"/>
    <w:rsid w:val="008433EA"/>
    <w:rsid w:val="008478C2"/>
    <w:rsid w:val="00847C7D"/>
    <w:rsid w:val="008519C7"/>
    <w:rsid w:val="0085473D"/>
    <w:rsid w:val="00854876"/>
    <w:rsid w:val="0085602F"/>
    <w:rsid w:val="00856780"/>
    <w:rsid w:val="00863239"/>
    <w:rsid w:val="00876E0D"/>
    <w:rsid w:val="008A1AFD"/>
    <w:rsid w:val="008C4826"/>
    <w:rsid w:val="008D27A5"/>
    <w:rsid w:val="008D6349"/>
    <w:rsid w:val="008E112E"/>
    <w:rsid w:val="008E762B"/>
    <w:rsid w:val="00905168"/>
    <w:rsid w:val="0092322F"/>
    <w:rsid w:val="00925DFD"/>
    <w:rsid w:val="00926ADE"/>
    <w:rsid w:val="00975AE3"/>
    <w:rsid w:val="00980889"/>
    <w:rsid w:val="0099050A"/>
    <w:rsid w:val="009A192B"/>
    <w:rsid w:val="009B4F1E"/>
    <w:rsid w:val="009C03CD"/>
    <w:rsid w:val="009C142F"/>
    <w:rsid w:val="009F1CB1"/>
    <w:rsid w:val="00A24F9D"/>
    <w:rsid w:val="00A257C6"/>
    <w:rsid w:val="00A40FD5"/>
    <w:rsid w:val="00A4154D"/>
    <w:rsid w:val="00A464F2"/>
    <w:rsid w:val="00A7182C"/>
    <w:rsid w:val="00A73BF9"/>
    <w:rsid w:val="00A81BE2"/>
    <w:rsid w:val="00A925D5"/>
    <w:rsid w:val="00AC7A2C"/>
    <w:rsid w:val="00AD48F3"/>
    <w:rsid w:val="00AD62BE"/>
    <w:rsid w:val="00AE61F2"/>
    <w:rsid w:val="00AF6F4C"/>
    <w:rsid w:val="00B0186C"/>
    <w:rsid w:val="00B05296"/>
    <w:rsid w:val="00B13D05"/>
    <w:rsid w:val="00B200A8"/>
    <w:rsid w:val="00B3465A"/>
    <w:rsid w:val="00B34863"/>
    <w:rsid w:val="00B348B6"/>
    <w:rsid w:val="00B36427"/>
    <w:rsid w:val="00B37529"/>
    <w:rsid w:val="00B40D5D"/>
    <w:rsid w:val="00B422CA"/>
    <w:rsid w:val="00B5132A"/>
    <w:rsid w:val="00B51666"/>
    <w:rsid w:val="00B53CE4"/>
    <w:rsid w:val="00B64A84"/>
    <w:rsid w:val="00B7193B"/>
    <w:rsid w:val="00B7213D"/>
    <w:rsid w:val="00B82696"/>
    <w:rsid w:val="00B853B6"/>
    <w:rsid w:val="00BA1E34"/>
    <w:rsid w:val="00BA71B9"/>
    <w:rsid w:val="00BB16F0"/>
    <w:rsid w:val="00BB392B"/>
    <w:rsid w:val="00BC2C5D"/>
    <w:rsid w:val="00BD37A5"/>
    <w:rsid w:val="00BD6640"/>
    <w:rsid w:val="00BD6755"/>
    <w:rsid w:val="00BE20C9"/>
    <w:rsid w:val="00BE777C"/>
    <w:rsid w:val="00C1288C"/>
    <w:rsid w:val="00C1572F"/>
    <w:rsid w:val="00C168DA"/>
    <w:rsid w:val="00C66AFC"/>
    <w:rsid w:val="00C75E8E"/>
    <w:rsid w:val="00C83307"/>
    <w:rsid w:val="00CA3487"/>
    <w:rsid w:val="00CD2949"/>
    <w:rsid w:val="00CE1CBE"/>
    <w:rsid w:val="00CE2CCA"/>
    <w:rsid w:val="00CE7DA7"/>
    <w:rsid w:val="00D103EE"/>
    <w:rsid w:val="00D5073B"/>
    <w:rsid w:val="00D52288"/>
    <w:rsid w:val="00D838DF"/>
    <w:rsid w:val="00D90556"/>
    <w:rsid w:val="00DA02FE"/>
    <w:rsid w:val="00DA520C"/>
    <w:rsid w:val="00DA63F7"/>
    <w:rsid w:val="00DB1A47"/>
    <w:rsid w:val="00DB704E"/>
    <w:rsid w:val="00DC0B28"/>
    <w:rsid w:val="00DD4546"/>
    <w:rsid w:val="00DD7F25"/>
    <w:rsid w:val="00DE5D7F"/>
    <w:rsid w:val="00DF073E"/>
    <w:rsid w:val="00E02757"/>
    <w:rsid w:val="00E128EC"/>
    <w:rsid w:val="00E23E2C"/>
    <w:rsid w:val="00E25B52"/>
    <w:rsid w:val="00E46072"/>
    <w:rsid w:val="00E60267"/>
    <w:rsid w:val="00E67C59"/>
    <w:rsid w:val="00E74841"/>
    <w:rsid w:val="00E80D2A"/>
    <w:rsid w:val="00E861BE"/>
    <w:rsid w:val="00EA20F6"/>
    <w:rsid w:val="00EB2B0D"/>
    <w:rsid w:val="00ED6424"/>
    <w:rsid w:val="00EE0465"/>
    <w:rsid w:val="00EE2BA2"/>
    <w:rsid w:val="00F14820"/>
    <w:rsid w:val="00F20739"/>
    <w:rsid w:val="00F2321F"/>
    <w:rsid w:val="00F4539D"/>
    <w:rsid w:val="00F50C80"/>
    <w:rsid w:val="00F51399"/>
    <w:rsid w:val="00F562A5"/>
    <w:rsid w:val="00F67437"/>
    <w:rsid w:val="00F67892"/>
    <w:rsid w:val="00F703B0"/>
    <w:rsid w:val="00F71351"/>
    <w:rsid w:val="00F7612D"/>
    <w:rsid w:val="00F82209"/>
    <w:rsid w:val="00F953E4"/>
    <w:rsid w:val="00FA68FA"/>
    <w:rsid w:val="00FB2F1B"/>
    <w:rsid w:val="00FC1116"/>
    <w:rsid w:val="00FC6BF9"/>
    <w:rsid w:val="00FE4824"/>
    <w:rsid w:val="00FE7820"/>
    <w:rsid w:val="00FE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7F2CB6"/>
  <w15:docId w15:val="{1564BBBD-20E7-4910-B672-D886220FF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5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16"/>
      <w:ind w:left="10" w:hanging="10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5602F"/>
    <w:pPr>
      <w:keepNext/>
      <w:keepLines/>
      <w:spacing w:before="40" w:after="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D62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Times New Roman" w:eastAsia="Times New Roman" w:hAnsi="Times New Roman" w:cs="Times New Roman"/>
      <w:color w:val="000000"/>
      <w:sz w:val="22"/>
    </w:rPr>
  </w:style>
  <w:style w:type="paragraph" w:customStyle="1" w:styleId="Default">
    <w:name w:val="Default"/>
    <w:rsid w:val="00E80D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33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30AB"/>
    <w:rPr>
      <w:rFonts w:ascii="Segoe UI" w:eastAsia="Times New Roman" w:hAnsi="Segoe UI" w:cs="Segoe UI"/>
      <w:color w:val="000000"/>
      <w:sz w:val="18"/>
      <w:szCs w:val="18"/>
    </w:rPr>
  </w:style>
  <w:style w:type="paragraph" w:styleId="PargrafodaLista">
    <w:name w:val="List Paragraph"/>
    <w:aliases w:val="Numbering"/>
    <w:basedOn w:val="Normal"/>
    <w:link w:val="PargrafodaListaChar"/>
    <w:uiPriority w:val="34"/>
    <w:qFormat/>
    <w:rsid w:val="0031644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B49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49F3"/>
    <w:rPr>
      <w:rFonts w:ascii="Times New Roman" w:eastAsia="Times New Roman" w:hAnsi="Times New Roman" w:cs="Times New Roman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5B49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B49F3"/>
    <w:rPr>
      <w:rFonts w:ascii="Times New Roman" w:eastAsia="Times New Roman" w:hAnsi="Times New Roman" w:cs="Times New Roman"/>
      <w:color w:val="000000"/>
    </w:rPr>
  </w:style>
  <w:style w:type="character" w:customStyle="1" w:styleId="Ttulo2Char">
    <w:name w:val="Título 2 Char"/>
    <w:basedOn w:val="Fontepargpadro"/>
    <w:link w:val="Ttulo2"/>
    <w:uiPriority w:val="9"/>
    <w:rsid w:val="0085602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1E3B0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E3B0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E3B0C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E3B0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E3B0C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numbering" w:customStyle="1" w:styleId="IFACNumberedList">
    <w:name w:val="IFAC Numbered List"/>
    <w:uiPriority w:val="99"/>
    <w:rsid w:val="001E3B0C"/>
    <w:pPr>
      <w:numPr>
        <w:numId w:val="2"/>
      </w:numPr>
    </w:pPr>
  </w:style>
  <w:style w:type="paragraph" w:styleId="Lista2">
    <w:name w:val="List 2"/>
    <w:aliases w:val="IFAC ListStyle 2,ls2"/>
    <w:basedOn w:val="Normal"/>
    <w:next w:val="Corpodetexto"/>
    <w:uiPriority w:val="99"/>
    <w:qFormat/>
    <w:rsid w:val="001E3B0C"/>
    <w:pPr>
      <w:numPr>
        <w:ilvl w:val="1"/>
        <w:numId w:val="2"/>
      </w:numPr>
      <w:tabs>
        <w:tab w:val="left" w:pos="720"/>
        <w:tab w:val="left" w:pos="1267"/>
      </w:tabs>
      <w:spacing w:before="120" w:after="0" w:line="240" w:lineRule="exact"/>
      <w:jc w:val="left"/>
      <w:outlineLvl w:val="1"/>
    </w:pPr>
    <w:rPr>
      <w:rFonts w:eastAsia="Calibri"/>
      <w:color w:val="auto"/>
      <w:sz w:val="20"/>
      <w:szCs w:val="24"/>
      <w:lang w:val="en-US" w:eastAsia="en-US"/>
    </w:rPr>
  </w:style>
  <w:style w:type="paragraph" w:styleId="Lista3">
    <w:name w:val="List 3"/>
    <w:aliases w:val="IFAC ListStyle 3,ls3"/>
    <w:basedOn w:val="Lista2"/>
    <w:next w:val="Corpodetexto"/>
    <w:uiPriority w:val="99"/>
    <w:qFormat/>
    <w:rsid w:val="001E3B0C"/>
    <w:pPr>
      <w:numPr>
        <w:ilvl w:val="2"/>
      </w:numPr>
      <w:tabs>
        <w:tab w:val="clear" w:pos="1267"/>
        <w:tab w:val="left" w:pos="1814"/>
      </w:tabs>
      <w:ind w:left="1814"/>
      <w:outlineLvl w:val="2"/>
    </w:pPr>
  </w:style>
  <w:style w:type="paragraph" w:styleId="Lista4">
    <w:name w:val="List 4"/>
    <w:aliases w:val="IFAC ListStyle 4,ls4"/>
    <w:basedOn w:val="Lista3"/>
    <w:next w:val="Corpodetexto"/>
    <w:uiPriority w:val="99"/>
    <w:qFormat/>
    <w:rsid w:val="001E3B0C"/>
    <w:pPr>
      <w:numPr>
        <w:ilvl w:val="3"/>
      </w:numPr>
      <w:tabs>
        <w:tab w:val="clear" w:pos="1814"/>
        <w:tab w:val="left" w:pos="2362"/>
      </w:tabs>
      <w:ind w:left="2361"/>
      <w:outlineLvl w:val="3"/>
    </w:pPr>
  </w:style>
  <w:style w:type="paragraph" w:styleId="Lista5">
    <w:name w:val="List 5"/>
    <w:aliases w:val="IFAC ListStyle 5,ls5"/>
    <w:basedOn w:val="Lista4"/>
    <w:next w:val="Corpodetexto"/>
    <w:uiPriority w:val="99"/>
    <w:qFormat/>
    <w:rsid w:val="001E3B0C"/>
    <w:pPr>
      <w:numPr>
        <w:ilvl w:val="4"/>
      </w:numPr>
      <w:tabs>
        <w:tab w:val="clear" w:pos="2362"/>
        <w:tab w:val="left" w:pos="2909"/>
      </w:tabs>
      <w:ind w:left="2909"/>
      <w:outlineLvl w:val="4"/>
    </w:pPr>
  </w:style>
  <w:style w:type="paragraph" w:styleId="Corpodetexto">
    <w:name w:val="Body Text"/>
    <w:basedOn w:val="Normal"/>
    <w:link w:val="CorpodetextoChar"/>
    <w:uiPriority w:val="99"/>
    <w:semiHidden/>
    <w:unhideWhenUsed/>
    <w:rsid w:val="001E3B0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E3B0C"/>
    <w:rPr>
      <w:rFonts w:ascii="Times New Roman" w:eastAsia="Times New Roman" w:hAnsi="Times New Roman" w:cs="Times New Roman"/>
      <w:color w:val="000000"/>
    </w:rPr>
  </w:style>
  <w:style w:type="character" w:styleId="Forte">
    <w:name w:val="Strong"/>
    <w:basedOn w:val="Fontepargpadro"/>
    <w:uiPriority w:val="22"/>
    <w:qFormat/>
    <w:rsid w:val="00BD37A5"/>
    <w:rPr>
      <w:b/>
      <w:bCs/>
    </w:rPr>
  </w:style>
  <w:style w:type="table" w:styleId="Tabelacomgrade">
    <w:name w:val="Table Grid"/>
    <w:basedOn w:val="Tabelanormal"/>
    <w:uiPriority w:val="39"/>
    <w:rsid w:val="00A464F2"/>
    <w:pPr>
      <w:spacing w:after="0" w:line="240" w:lineRule="auto"/>
    </w:pPr>
    <w:rPr>
      <w:rFonts w:eastAsia="Calibri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deGrade1Clara">
    <w:name w:val="Grid Table 1 Light"/>
    <w:basedOn w:val="Tabelanormal"/>
    <w:uiPriority w:val="46"/>
    <w:rsid w:val="008C4826"/>
    <w:pPr>
      <w:spacing w:after="0" w:line="240" w:lineRule="auto"/>
    </w:pPr>
    <w:rPr>
      <w:rFonts w:eastAsiaTheme="minorHAnsi"/>
      <w:lang w:val="en-GB"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argrafodaListaChar">
    <w:name w:val="Parágrafo da Lista Char"/>
    <w:aliases w:val="Numbering Char"/>
    <w:link w:val="PargrafodaLista"/>
    <w:uiPriority w:val="34"/>
    <w:locked/>
    <w:rsid w:val="00D52288"/>
    <w:rPr>
      <w:rFonts w:ascii="Times New Roman" w:eastAsia="Times New Roman" w:hAnsi="Times New Roman" w:cs="Times New Roman"/>
      <w:color w:val="000000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D62B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IFACBulletIndented1">
    <w:name w:val="IFAC Bullet Indented 1"/>
    <w:aliases w:val="b1i"/>
    <w:next w:val="Corpodetexto"/>
    <w:uiPriority w:val="2"/>
    <w:qFormat/>
    <w:rsid w:val="00AD62BE"/>
    <w:pPr>
      <w:numPr>
        <w:numId w:val="17"/>
      </w:numPr>
      <w:tabs>
        <w:tab w:val="left" w:pos="1267"/>
      </w:tabs>
      <w:spacing w:before="120" w:after="0" w:line="240" w:lineRule="exact"/>
    </w:pPr>
    <w:rPr>
      <w:rFonts w:ascii="Times New Roman" w:eastAsia="Calibri" w:hAnsi="Times New Roman" w:cs="Times New Roman"/>
      <w:sz w:val="20"/>
      <w:szCs w:val="24"/>
      <w:lang w:val="en-US" w:eastAsia="en-US"/>
    </w:rPr>
  </w:style>
  <w:style w:type="paragraph" w:customStyle="1" w:styleId="IFACNumberAndLetter">
    <w:name w:val="IFAC NumberAndLetter"/>
    <w:basedOn w:val="PargrafodaLista"/>
    <w:uiPriority w:val="5"/>
    <w:qFormat/>
    <w:rsid w:val="00AD62BE"/>
    <w:pPr>
      <w:numPr>
        <w:numId w:val="18"/>
      </w:numPr>
      <w:tabs>
        <w:tab w:val="left" w:pos="720"/>
      </w:tabs>
      <w:spacing w:before="120" w:after="0" w:line="240" w:lineRule="exact"/>
      <w:contextualSpacing w:val="0"/>
    </w:pPr>
    <w:rPr>
      <w:color w:val="auto"/>
      <w:kern w:val="20"/>
      <w:sz w:val="20"/>
      <w:szCs w:val="20"/>
      <w:lang w:val="en-US" w:eastAsia="en-US"/>
    </w:rPr>
  </w:style>
  <w:style w:type="paragraph" w:customStyle="1" w:styleId="IFACBulletIndented2">
    <w:name w:val="IFAC Bullet Indented 2"/>
    <w:aliases w:val="b2i"/>
    <w:next w:val="Corpodetexto"/>
    <w:uiPriority w:val="2"/>
    <w:qFormat/>
    <w:rsid w:val="00AD62BE"/>
    <w:pPr>
      <w:numPr>
        <w:numId w:val="19"/>
      </w:numPr>
      <w:tabs>
        <w:tab w:val="left" w:pos="1814"/>
      </w:tabs>
      <w:spacing w:before="120" w:after="0" w:line="240" w:lineRule="exact"/>
    </w:pPr>
    <w:rPr>
      <w:rFonts w:ascii="Times New Roman" w:eastAsia="Calibri" w:hAnsi="Times New Roman" w:cs="Times New Roman"/>
      <w:sz w:val="20"/>
      <w:szCs w:val="24"/>
      <w:lang w:val="en-US" w:eastAsia="en-US"/>
    </w:rPr>
  </w:style>
  <w:style w:type="character" w:styleId="nfase">
    <w:name w:val="Emphasis"/>
    <w:basedOn w:val="Fontepargpadro"/>
    <w:uiPriority w:val="20"/>
    <w:qFormat/>
    <w:rsid w:val="00CE1CBE"/>
    <w:rPr>
      <w:i/>
      <w:iCs/>
    </w:rPr>
  </w:style>
  <w:style w:type="paragraph" w:styleId="Legenda">
    <w:name w:val="caption"/>
    <w:basedOn w:val="Normal"/>
    <w:next w:val="Normal"/>
    <w:uiPriority w:val="35"/>
    <w:unhideWhenUsed/>
    <w:qFormat/>
    <w:rsid w:val="002217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Fontepargpadro"/>
    <w:uiPriority w:val="99"/>
    <w:rsid w:val="00B200A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6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21B8F-49D9-45C0-8487-AA1FDDF34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458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TCU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raineriorl</dc:creator>
  <cp:keywords/>
  <cp:lastModifiedBy>Suzie Hayashida Cabral</cp:lastModifiedBy>
  <cp:revision>9</cp:revision>
  <dcterms:created xsi:type="dcterms:W3CDTF">2020-04-02T21:50:00Z</dcterms:created>
  <dcterms:modified xsi:type="dcterms:W3CDTF">2023-08-30T15:54:00Z</dcterms:modified>
</cp:coreProperties>
</file>