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384A7F" w14:textId="194F1E5E" w:rsidR="00CB2F3E" w:rsidRPr="00B14E90" w:rsidRDefault="00CB2F3E" w:rsidP="0098335D">
      <w:pPr>
        <w:pStyle w:val="Ttulo1"/>
        <w:spacing w:before="0"/>
        <w:rPr>
          <w:rFonts w:ascii="Arial" w:hAnsi="Arial" w:cs="Arial"/>
          <w:bCs/>
          <w:color w:val="auto"/>
          <w:sz w:val="22"/>
          <w:szCs w:val="22"/>
        </w:rPr>
      </w:pPr>
      <w:r w:rsidRPr="00B14E90">
        <w:rPr>
          <w:rFonts w:ascii="Arial" w:hAnsi="Arial" w:cs="Arial"/>
          <w:bCs/>
          <w:color w:val="auto"/>
          <w:sz w:val="22"/>
          <w:szCs w:val="22"/>
        </w:rPr>
        <w:t>OFÍCIO N° XXX/202X – PRESIDÊNCIA</w:t>
      </w:r>
      <w:r w:rsidRPr="00B14E90" w:rsidDel="00CB2F3E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98335D" w:rsidRPr="00B14E90">
        <w:rPr>
          <w:rFonts w:ascii="Arial" w:hAnsi="Arial" w:cs="Arial"/>
          <w:bCs/>
          <w:color w:val="auto"/>
          <w:sz w:val="22"/>
          <w:szCs w:val="22"/>
        </w:rPr>
        <w:tab/>
        <w:t xml:space="preserve">       </w:t>
      </w:r>
    </w:p>
    <w:p w14:paraId="6F7C3779" w14:textId="77777777" w:rsidR="00CB2F3E" w:rsidRPr="00B14E90" w:rsidRDefault="00CB2F3E" w:rsidP="0098335D">
      <w:pPr>
        <w:pStyle w:val="Ttulo1"/>
        <w:spacing w:before="0"/>
        <w:rPr>
          <w:rFonts w:ascii="Arial" w:hAnsi="Arial" w:cs="Arial"/>
          <w:bCs/>
          <w:color w:val="auto"/>
          <w:sz w:val="22"/>
          <w:szCs w:val="22"/>
        </w:rPr>
      </w:pPr>
    </w:p>
    <w:p w14:paraId="7241D334" w14:textId="6D6AED48" w:rsidR="000E75C8" w:rsidRPr="00B14E90" w:rsidRDefault="000E75C8" w:rsidP="00957DBA">
      <w:pPr>
        <w:tabs>
          <w:tab w:val="left" w:pos="567"/>
        </w:tabs>
        <w:spacing w:before="240" w:after="0" w:line="240" w:lineRule="auto"/>
        <w:jc w:val="both"/>
        <w:rPr>
          <w:rFonts w:ascii="Arial" w:eastAsia="Times New Roman" w:hAnsi="Arial" w:cs="Arial"/>
          <w:b/>
          <w:bCs/>
          <w:lang w:eastAsia="pt-BR"/>
        </w:rPr>
      </w:pPr>
      <w:r w:rsidRPr="00B14E90">
        <w:rPr>
          <w:rFonts w:ascii="Arial" w:eastAsia="Times New Roman" w:hAnsi="Arial" w:cs="Arial"/>
          <w:b/>
          <w:bCs/>
          <w:lang w:eastAsia="pt-BR"/>
        </w:rPr>
        <w:t>INTRODUÇÃO</w:t>
      </w:r>
    </w:p>
    <w:p w14:paraId="6AF4DDEF" w14:textId="0359D79B" w:rsidR="00695C00" w:rsidRPr="00B14E90" w:rsidRDefault="00657F70" w:rsidP="00E97F75">
      <w:pPr>
        <w:tabs>
          <w:tab w:val="left" w:pos="567"/>
        </w:tabs>
        <w:spacing w:before="240" w:after="0" w:line="240" w:lineRule="auto"/>
        <w:ind w:firstLine="1134"/>
        <w:jc w:val="both"/>
        <w:rPr>
          <w:rFonts w:ascii="Arial" w:eastAsia="Times New Roman" w:hAnsi="Arial" w:cs="Arial"/>
          <w:lang w:eastAsia="pt-BR"/>
        </w:rPr>
      </w:pPr>
      <w:r w:rsidRPr="00B14E90">
        <w:rPr>
          <w:rFonts w:ascii="Arial" w:eastAsia="Times New Roman" w:hAnsi="Arial" w:cs="Arial"/>
          <w:lang w:eastAsia="pt-BR"/>
        </w:rPr>
        <w:t>Como parte do processo de trabalho e dos requisitos das normas de auditoria ISA/NBC</w:t>
      </w:r>
      <w:r w:rsidR="0028667D" w:rsidRPr="00B14E90">
        <w:rPr>
          <w:rFonts w:ascii="Arial" w:eastAsia="Times New Roman" w:hAnsi="Arial" w:cs="Arial"/>
          <w:lang w:eastAsia="pt-BR"/>
        </w:rPr>
        <w:t> </w:t>
      </w:r>
      <w:r w:rsidRPr="00B14E90">
        <w:rPr>
          <w:rFonts w:ascii="Arial" w:eastAsia="Times New Roman" w:hAnsi="Arial" w:cs="Arial"/>
          <w:lang w:eastAsia="pt-BR"/>
        </w:rPr>
        <w:t>TA 705 (ISSAI 2705), item 30,</w:t>
      </w:r>
      <w:r w:rsidR="00695C00" w:rsidRPr="00B14E90">
        <w:rPr>
          <w:rFonts w:ascii="Arial" w:eastAsia="Times New Roman" w:hAnsi="Arial" w:cs="Arial"/>
          <w:lang w:eastAsia="pt-BR"/>
        </w:rPr>
        <w:t xml:space="preserve"> </w:t>
      </w:r>
      <w:r w:rsidR="00D20149" w:rsidRPr="00B14E90">
        <w:rPr>
          <w:rFonts w:ascii="Arial" w:eastAsia="Times New Roman" w:hAnsi="Arial" w:cs="Arial"/>
          <w:lang w:eastAsia="pt-BR"/>
        </w:rPr>
        <w:t xml:space="preserve">comunicamos </w:t>
      </w:r>
      <w:r w:rsidRPr="00B14E90">
        <w:rPr>
          <w:rFonts w:ascii="Arial" w:eastAsia="Times New Roman" w:hAnsi="Arial" w:cs="Arial"/>
          <w:lang w:eastAsia="pt-BR"/>
        </w:rPr>
        <w:t xml:space="preserve">aos responsáveis pela governança do </w:t>
      </w:r>
      <w:r w:rsidR="0028667D" w:rsidRPr="00B14E90">
        <w:rPr>
          <w:rFonts w:ascii="Arial" w:eastAsia="Times New Roman" w:hAnsi="Arial" w:cs="Arial"/>
          <w:lang w:eastAsia="pt-BR"/>
        </w:rPr>
        <w:t>[sigla do órgão/entidade]</w:t>
      </w:r>
      <w:r w:rsidRPr="00B14E90">
        <w:rPr>
          <w:rFonts w:ascii="Arial" w:eastAsia="Times New Roman" w:hAnsi="Arial" w:cs="Arial"/>
          <w:lang w:eastAsia="pt-BR"/>
        </w:rPr>
        <w:t xml:space="preserve"> </w:t>
      </w:r>
      <w:r w:rsidR="00C71C1B" w:rsidRPr="00B14E90">
        <w:rPr>
          <w:rFonts w:ascii="Arial" w:eastAsia="Times New Roman" w:hAnsi="Arial" w:cs="Arial"/>
          <w:lang w:eastAsia="pt-BR"/>
        </w:rPr>
        <w:t>nossa previsão</w:t>
      </w:r>
      <w:r w:rsidR="00695C00" w:rsidRPr="00B14E90">
        <w:rPr>
          <w:rFonts w:ascii="Arial" w:eastAsia="Times New Roman" w:hAnsi="Arial" w:cs="Arial"/>
          <w:lang w:eastAsia="pt-BR"/>
        </w:rPr>
        <w:t xml:space="preserve"> </w:t>
      </w:r>
      <w:r w:rsidR="00C71C1B" w:rsidRPr="00B14E90">
        <w:rPr>
          <w:rFonts w:ascii="Arial" w:eastAsia="Times New Roman" w:hAnsi="Arial" w:cs="Arial"/>
          <w:lang w:eastAsia="pt-BR"/>
        </w:rPr>
        <w:t>de</w:t>
      </w:r>
      <w:r w:rsidR="00695C00" w:rsidRPr="00B14E90">
        <w:rPr>
          <w:rFonts w:ascii="Arial" w:eastAsia="Times New Roman" w:hAnsi="Arial" w:cs="Arial"/>
          <w:lang w:eastAsia="pt-BR"/>
        </w:rPr>
        <w:t xml:space="preserve"> modificação da opinião de auditoria sobre as demonstrações contábeis e sobre a conformidade das transações subjacentes</w:t>
      </w:r>
      <w:r w:rsidR="00B206CF" w:rsidRPr="00B14E90">
        <w:rPr>
          <w:rFonts w:ascii="Arial" w:eastAsia="Times New Roman" w:hAnsi="Arial" w:cs="Arial"/>
          <w:lang w:eastAsia="pt-BR"/>
        </w:rPr>
        <w:t xml:space="preserve"> </w:t>
      </w:r>
      <w:bookmarkStart w:id="0" w:name="_Hlk36753276"/>
      <w:r w:rsidR="00B206CF" w:rsidRPr="00B14E90">
        <w:rPr>
          <w:rFonts w:ascii="Arial" w:eastAsia="Times New Roman" w:hAnsi="Arial" w:cs="Arial"/>
          <w:lang w:eastAsia="pt-BR"/>
        </w:rPr>
        <w:t xml:space="preserve">e </w:t>
      </w:r>
      <w:r w:rsidR="00B206CF" w:rsidRPr="00B14E90">
        <w:rPr>
          <w:rFonts w:ascii="Arial" w:hAnsi="Arial" w:cs="Arial"/>
        </w:rPr>
        <w:t>as circunstâncias que levaram à modificação prevista</w:t>
      </w:r>
      <w:bookmarkEnd w:id="0"/>
      <w:r w:rsidR="00B2163B" w:rsidRPr="00B14E90">
        <w:rPr>
          <w:rFonts w:ascii="Arial" w:eastAsia="Times New Roman" w:hAnsi="Arial" w:cs="Arial"/>
          <w:lang w:eastAsia="pt-BR"/>
        </w:rPr>
        <w:t xml:space="preserve">. Segue </w:t>
      </w:r>
      <w:r w:rsidR="004007CF" w:rsidRPr="00B14E90">
        <w:rPr>
          <w:rFonts w:ascii="Arial" w:eastAsia="Times New Roman" w:hAnsi="Arial" w:cs="Arial"/>
          <w:lang w:eastAsia="pt-BR"/>
        </w:rPr>
        <w:t xml:space="preserve">também </w:t>
      </w:r>
      <w:bookmarkStart w:id="1" w:name="_Hlk36753243"/>
      <w:r w:rsidR="004007CF" w:rsidRPr="00B14E90">
        <w:rPr>
          <w:rFonts w:ascii="Arial" w:eastAsia="Times New Roman" w:hAnsi="Arial" w:cs="Arial"/>
          <w:lang w:eastAsia="pt-BR"/>
        </w:rPr>
        <w:t>o</w:t>
      </w:r>
      <w:r w:rsidR="008E19F4" w:rsidRPr="00B14E90">
        <w:rPr>
          <w:rFonts w:ascii="Arial" w:eastAsia="Times New Roman" w:hAnsi="Arial" w:cs="Arial"/>
          <w:lang w:eastAsia="pt-BR"/>
        </w:rPr>
        <w:t xml:space="preserve"> texto</w:t>
      </w:r>
      <w:r w:rsidR="00D20149" w:rsidRPr="00B14E90">
        <w:rPr>
          <w:rFonts w:ascii="Arial" w:eastAsia="Times New Roman" w:hAnsi="Arial" w:cs="Arial"/>
          <w:lang w:eastAsia="pt-BR"/>
        </w:rPr>
        <w:t xml:space="preserve"> </w:t>
      </w:r>
      <w:r w:rsidR="0010421F" w:rsidRPr="00B14E90">
        <w:rPr>
          <w:rFonts w:ascii="Arial" w:eastAsia="Times New Roman" w:hAnsi="Arial" w:cs="Arial"/>
          <w:lang w:eastAsia="pt-BR"/>
        </w:rPr>
        <w:t>previsto</w:t>
      </w:r>
      <w:r w:rsidR="008E1E67" w:rsidRPr="00B14E90">
        <w:rPr>
          <w:rFonts w:ascii="Arial" w:eastAsia="Times New Roman" w:hAnsi="Arial" w:cs="Arial"/>
          <w:lang w:eastAsia="pt-BR"/>
        </w:rPr>
        <w:t xml:space="preserve"> para </w:t>
      </w:r>
      <w:r w:rsidR="008E19F4" w:rsidRPr="00B14E90">
        <w:rPr>
          <w:rFonts w:ascii="Arial" w:eastAsia="Times New Roman" w:hAnsi="Arial" w:cs="Arial"/>
          <w:lang w:eastAsia="pt-BR"/>
        </w:rPr>
        <w:t xml:space="preserve">a modificação </w:t>
      </w:r>
      <w:r w:rsidR="00B2163B" w:rsidRPr="00B14E90">
        <w:rPr>
          <w:rFonts w:ascii="Arial" w:eastAsia="Times New Roman" w:hAnsi="Arial" w:cs="Arial"/>
          <w:lang w:eastAsia="pt-BR"/>
        </w:rPr>
        <w:t xml:space="preserve">da opinião </w:t>
      </w:r>
      <w:r w:rsidR="008E19F4" w:rsidRPr="00B14E90">
        <w:rPr>
          <w:rFonts w:ascii="Arial" w:eastAsia="Times New Roman" w:hAnsi="Arial" w:cs="Arial"/>
          <w:lang w:eastAsia="pt-BR"/>
        </w:rPr>
        <w:t>que constará</w:t>
      </w:r>
      <w:r w:rsidR="00E37995" w:rsidRPr="00B14E90">
        <w:rPr>
          <w:rFonts w:ascii="Arial" w:eastAsia="Times New Roman" w:hAnsi="Arial" w:cs="Arial"/>
          <w:lang w:eastAsia="pt-BR"/>
        </w:rPr>
        <w:t xml:space="preserve"> </w:t>
      </w:r>
      <w:r w:rsidR="008E19F4" w:rsidRPr="00B14E90">
        <w:rPr>
          <w:rFonts w:ascii="Arial" w:eastAsia="Times New Roman" w:hAnsi="Arial" w:cs="Arial"/>
          <w:lang w:eastAsia="pt-BR"/>
        </w:rPr>
        <w:t>n</w:t>
      </w:r>
      <w:r w:rsidR="00E97F75" w:rsidRPr="00B14E90">
        <w:rPr>
          <w:rFonts w:ascii="Arial" w:eastAsia="Times New Roman" w:hAnsi="Arial" w:cs="Arial"/>
          <w:lang w:eastAsia="pt-BR"/>
        </w:rPr>
        <w:t xml:space="preserve">o Certificado de Auditoria </w:t>
      </w:r>
      <w:bookmarkEnd w:id="1"/>
      <w:r w:rsidR="00E97F75" w:rsidRPr="00B14E90">
        <w:rPr>
          <w:rFonts w:ascii="Arial" w:eastAsia="Times New Roman" w:hAnsi="Arial" w:cs="Arial"/>
          <w:lang w:eastAsia="pt-BR"/>
        </w:rPr>
        <w:t xml:space="preserve">a ser emitido </w:t>
      </w:r>
      <w:r w:rsidR="00C11DC0" w:rsidRPr="00B14E90">
        <w:rPr>
          <w:rFonts w:ascii="Arial" w:eastAsia="Times New Roman" w:hAnsi="Arial" w:cs="Arial"/>
          <w:lang w:eastAsia="pt-BR"/>
        </w:rPr>
        <w:t>no</w:t>
      </w:r>
      <w:r w:rsidR="00FB1C0B" w:rsidRPr="00B14E90">
        <w:rPr>
          <w:rFonts w:ascii="Arial" w:eastAsia="Times New Roman" w:hAnsi="Arial" w:cs="Arial"/>
          <w:lang w:eastAsia="pt-BR"/>
        </w:rPr>
        <w:t>s termos do</w:t>
      </w:r>
      <w:r w:rsidR="00C11DC0" w:rsidRPr="00B14E90">
        <w:rPr>
          <w:rFonts w:ascii="Arial" w:eastAsia="Times New Roman" w:hAnsi="Arial" w:cs="Arial"/>
          <w:lang w:eastAsia="pt-BR"/>
        </w:rPr>
        <w:t xml:space="preserve"> inc</w:t>
      </w:r>
      <w:r w:rsidR="0028667D" w:rsidRPr="00B14E90">
        <w:rPr>
          <w:rFonts w:ascii="Arial" w:eastAsia="Times New Roman" w:hAnsi="Arial" w:cs="Arial"/>
          <w:lang w:eastAsia="pt-BR"/>
        </w:rPr>
        <w:t>iso</w:t>
      </w:r>
      <w:r w:rsidR="00C11DC0" w:rsidRPr="00B14E90">
        <w:rPr>
          <w:rFonts w:ascii="Arial" w:eastAsia="Times New Roman" w:hAnsi="Arial" w:cs="Arial"/>
          <w:lang w:eastAsia="pt-BR"/>
        </w:rPr>
        <w:t xml:space="preserve"> III,</w:t>
      </w:r>
      <w:r w:rsidR="007D4131" w:rsidRPr="00B14E90">
        <w:rPr>
          <w:rFonts w:ascii="Arial" w:eastAsia="Times New Roman" w:hAnsi="Arial" w:cs="Arial"/>
          <w:lang w:eastAsia="pt-BR"/>
        </w:rPr>
        <w:t xml:space="preserve"> do art. 61 da Lei </w:t>
      </w:r>
      <w:r w:rsidR="00D57866" w:rsidRPr="00B14E90">
        <w:rPr>
          <w:rFonts w:ascii="Arial" w:eastAsia="Times New Roman" w:hAnsi="Arial" w:cs="Arial"/>
          <w:lang w:eastAsia="pt-BR"/>
        </w:rPr>
        <w:t xml:space="preserve">nº </w:t>
      </w:r>
      <w:r w:rsidR="007D4131" w:rsidRPr="00B14E90">
        <w:rPr>
          <w:rFonts w:ascii="Arial" w:eastAsia="Times New Roman" w:hAnsi="Arial" w:cs="Arial"/>
          <w:lang w:eastAsia="pt-BR"/>
        </w:rPr>
        <w:t>16.168</w:t>
      </w:r>
      <w:r w:rsidR="00CB2F3E" w:rsidRPr="00B14E90">
        <w:rPr>
          <w:rFonts w:ascii="Arial" w:eastAsia="Times New Roman" w:hAnsi="Arial" w:cs="Arial"/>
          <w:lang w:eastAsia="pt-BR"/>
        </w:rPr>
        <w:t xml:space="preserve"> de 11 de Dezembro de 2007</w:t>
      </w:r>
      <w:r w:rsidR="00CB2F3E" w:rsidRPr="00B14E90">
        <w:rPr>
          <w:rStyle w:val="Refdecomentrio"/>
          <w:rFonts w:ascii="Arial" w:hAnsi="Arial" w:cs="Arial"/>
          <w:sz w:val="22"/>
          <w:szCs w:val="22"/>
        </w:rPr>
        <w:t>.</w:t>
      </w:r>
    </w:p>
    <w:p w14:paraId="654672BD" w14:textId="23B71F7D" w:rsidR="00695C00" w:rsidRPr="00B14E90" w:rsidRDefault="00DF30D5" w:rsidP="00957DBA">
      <w:pPr>
        <w:pStyle w:val="Ttulo1"/>
        <w:rPr>
          <w:rFonts w:ascii="Arial" w:hAnsi="Arial" w:cs="Arial"/>
          <w:b/>
          <w:color w:val="auto"/>
          <w:sz w:val="22"/>
          <w:szCs w:val="22"/>
        </w:rPr>
      </w:pPr>
      <w:r w:rsidRPr="00B14E90">
        <w:rPr>
          <w:rFonts w:ascii="Arial" w:hAnsi="Arial" w:cs="Arial"/>
          <w:b/>
          <w:color w:val="auto"/>
          <w:sz w:val="22"/>
          <w:szCs w:val="22"/>
        </w:rPr>
        <w:t>TEXTO DA MODIFICAÇÃO DE OPINIÃO</w:t>
      </w:r>
    </w:p>
    <w:p w14:paraId="18687740" w14:textId="4BC19405" w:rsidR="00695C00" w:rsidRPr="00B14E90" w:rsidRDefault="00695C00" w:rsidP="008E19F4">
      <w:pPr>
        <w:pStyle w:val="Ttulo2"/>
        <w:spacing w:before="120"/>
        <w:rPr>
          <w:rFonts w:ascii="Arial" w:eastAsia="Times New Roman" w:hAnsi="Arial" w:cs="Arial"/>
          <w:b/>
          <w:sz w:val="22"/>
          <w:szCs w:val="22"/>
          <w:lang w:eastAsia="pt-BR"/>
        </w:rPr>
      </w:pPr>
      <w:r w:rsidRPr="00B14E90">
        <w:rPr>
          <w:rFonts w:ascii="Arial" w:eastAsia="Times New Roman" w:hAnsi="Arial" w:cs="Arial"/>
          <w:b/>
          <w:sz w:val="22"/>
          <w:szCs w:val="22"/>
          <w:lang w:eastAsia="pt-BR"/>
        </w:rPr>
        <w:t xml:space="preserve">Opinião adversa sobre as demonstrações </w:t>
      </w:r>
      <w:r w:rsidR="008E19F4" w:rsidRPr="00B14E90">
        <w:rPr>
          <w:rFonts w:ascii="Arial" w:eastAsia="Times New Roman" w:hAnsi="Arial" w:cs="Arial"/>
          <w:b/>
          <w:sz w:val="22"/>
          <w:szCs w:val="22"/>
          <w:lang w:eastAsia="pt-BR"/>
        </w:rPr>
        <w:t>contábeis</w:t>
      </w:r>
    </w:p>
    <w:p w14:paraId="7AB391C9" w14:textId="201D96A8" w:rsidR="00695C00" w:rsidRPr="00B14E90" w:rsidRDefault="00695C00" w:rsidP="00695C00">
      <w:pPr>
        <w:spacing w:before="120" w:after="0" w:line="240" w:lineRule="auto"/>
        <w:ind w:hanging="11"/>
        <w:jc w:val="both"/>
        <w:rPr>
          <w:rFonts w:ascii="Arial" w:eastAsia="Times New Roman" w:hAnsi="Arial" w:cs="Arial"/>
          <w:color w:val="000000"/>
          <w:lang w:eastAsia="pt-BR"/>
        </w:rPr>
      </w:pPr>
      <w:r w:rsidRPr="00B14E90">
        <w:rPr>
          <w:rFonts w:ascii="Arial" w:eastAsia="Times New Roman" w:hAnsi="Arial" w:cs="Arial"/>
          <w:color w:val="000000"/>
          <w:lang w:eastAsia="pt-BR"/>
        </w:rPr>
        <w:t xml:space="preserve">Examinamos, ao amparo da competência estabelecida </w:t>
      </w:r>
      <w:r w:rsidRPr="00B14E90">
        <w:rPr>
          <w:rFonts w:ascii="Arial" w:eastAsia="Times New Roman" w:hAnsi="Arial" w:cs="Arial"/>
          <w:lang w:eastAsia="pt-BR"/>
        </w:rPr>
        <w:t xml:space="preserve">no art. </w:t>
      </w:r>
      <w:r w:rsidR="00946BDE" w:rsidRPr="00B14E90">
        <w:rPr>
          <w:rFonts w:ascii="Arial" w:eastAsia="Times New Roman" w:hAnsi="Arial" w:cs="Arial"/>
          <w:lang w:eastAsia="pt-BR"/>
        </w:rPr>
        <w:t>26</w:t>
      </w:r>
      <w:r w:rsidRPr="00B14E90">
        <w:rPr>
          <w:rFonts w:ascii="Arial" w:eastAsia="Times New Roman" w:hAnsi="Arial" w:cs="Arial"/>
          <w:lang w:eastAsia="pt-BR"/>
        </w:rPr>
        <w:t xml:space="preserve">, </w:t>
      </w:r>
      <w:proofErr w:type="spellStart"/>
      <w:r w:rsidR="00C71C1B" w:rsidRPr="00B14E90">
        <w:rPr>
          <w:rFonts w:ascii="Arial" w:eastAsia="Times New Roman" w:hAnsi="Arial" w:cs="Arial"/>
          <w:lang w:eastAsia="pt-BR"/>
        </w:rPr>
        <w:t>incs</w:t>
      </w:r>
      <w:proofErr w:type="spellEnd"/>
      <w:r w:rsidR="00C71C1B" w:rsidRPr="00B14E90">
        <w:rPr>
          <w:rFonts w:ascii="Arial" w:eastAsia="Times New Roman" w:hAnsi="Arial" w:cs="Arial"/>
          <w:lang w:eastAsia="pt-BR"/>
        </w:rPr>
        <w:t xml:space="preserve">. </w:t>
      </w:r>
      <w:r w:rsidRPr="00B14E90">
        <w:rPr>
          <w:rFonts w:ascii="Arial" w:eastAsia="Times New Roman" w:hAnsi="Arial" w:cs="Arial"/>
          <w:lang w:eastAsia="pt-BR"/>
        </w:rPr>
        <w:t xml:space="preserve">I e II, da Constituição </w:t>
      </w:r>
      <w:r w:rsidR="00946BDE" w:rsidRPr="00B14E90">
        <w:rPr>
          <w:rFonts w:ascii="Arial" w:eastAsia="Times New Roman" w:hAnsi="Arial" w:cs="Arial"/>
          <w:lang w:eastAsia="pt-BR"/>
        </w:rPr>
        <w:t>Estadual de Goiás</w:t>
      </w:r>
      <w:r w:rsidRPr="00B14E90">
        <w:rPr>
          <w:rFonts w:ascii="Arial" w:eastAsia="Times New Roman" w:hAnsi="Arial" w:cs="Arial"/>
          <w:lang w:eastAsia="pt-BR"/>
        </w:rPr>
        <w:t xml:space="preserve">, </w:t>
      </w:r>
      <w:r w:rsidRPr="00B14E90">
        <w:rPr>
          <w:rFonts w:ascii="Arial" w:eastAsia="Times New Roman" w:hAnsi="Arial" w:cs="Arial"/>
          <w:color w:val="000000"/>
          <w:lang w:eastAsia="pt-BR"/>
        </w:rPr>
        <w:t xml:space="preserve">as demonstrações </w:t>
      </w:r>
      <w:r w:rsidR="008E19F4" w:rsidRPr="00B14E90">
        <w:rPr>
          <w:rFonts w:ascii="Arial" w:eastAsia="Times New Roman" w:hAnsi="Arial" w:cs="Arial"/>
          <w:color w:val="000000"/>
          <w:lang w:eastAsia="pt-BR"/>
        </w:rPr>
        <w:t>contábeis</w:t>
      </w:r>
      <w:r w:rsidRPr="00B14E90">
        <w:rPr>
          <w:rFonts w:ascii="Arial" w:eastAsia="Times New Roman" w:hAnsi="Arial" w:cs="Arial"/>
          <w:color w:val="000000"/>
          <w:lang w:eastAsia="pt-BR"/>
        </w:rPr>
        <w:t xml:space="preserve"> do </w:t>
      </w:r>
      <w:r w:rsidR="0028667D" w:rsidRPr="00B14E90">
        <w:rPr>
          <w:rFonts w:ascii="Arial" w:eastAsia="Times New Roman" w:hAnsi="Arial" w:cs="Arial"/>
          <w:color w:val="000000"/>
          <w:lang w:eastAsia="pt-BR"/>
        </w:rPr>
        <w:t xml:space="preserve">[nome da organização] </w:t>
      </w:r>
      <w:r w:rsidRPr="00B14E90">
        <w:rPr>
          <w:rFonts w:ascii="Arial" w:eastAsia="Times New Roman" w:hAnsi="Arial" w:cs="Arial"/>
          <w:color w:val="000000"/>
          <w:lang w:eastAsia="pt-BR"/>
        </w:rPr>
        <w:t>(</w:t>
      </w:r>
      <w:r w:rsidR="0028667D" w:rsidRPr="00B14E90">
        <w:rPr>
          <w:rFonts w:ascii="Arial" w:eastAsia="Times New Roman" w:hAnsi="Arial" w:cs="Arial"/>
          <w:color w:val="000000"/>
          <w:lang w:eastAsia="pt-BR"/>
        </w:rPr>
        <w:t>Sigla</w:t>
      </w:r>
      <w:r w:rsidRPr="00B14E90">
        <w:rPr>
          <w:rFonts w:ascii="Arial" w:eastAsia="Times New Roman" w:hAnsi="Arial" w:cs="Arial"/>
          <w:color w:val="000000"/>
          <w:lang w:eastAsia="pt-BR"/>
        </w:rPr>
        <w:t xml:space="preserve">) </w:t>
      </w:r>
      <w:r w:rsidR="008E19F4" w:rsidRPr="00B14E90">
        <w:rPr>
          <w:rFonts w:ascii="Arial" w:eastAsia="Times New Roman" w:hAnsi="Arial" w:cs="Arial"/>
          <w:color w:val="000000"/>
          <w:lang w:eastAsia="pt-BR"/>
        </w:rPr>
        <w:t>compreendendo</w:t>
      </w:r>
      <w:r w:rsidRPr="00B14E90">
        <w:rPr>
          <w:rFonts w:ascii="Arial" w:eastAsia="Times New Roman" w:hAnsi="Arial" w:cs="Arial"/>
          <w:color w:val="000000"/>
          <w:lang w:eastAsia="pt-BR"/>
        </w:rPr>
        <w:t xml:space="preserve"> </w:t>
      </w:r>
      <w:r w:rsidRPr="00B14E90">
        <w:rPr>
          <w:rFonts w:ascii="Arial" w:eastAsia="Times New Roman" w:hAnsi="Arial" w:cs="Arial"/>
          <w:color w:val="000000"/>
          <w:highlight w:val="yellow"/>
          <w:lang w:eastAsia="pt-BR"/>
        </w:rPr>
        <w:t>os balanços patrimonial e orçamentário</w:t>
      </w:r>
      <w:r w:rsidRPr="00B14E90">
        <w:rPr>
          <w:rFonts w:ascii="Arial" w:eastAsia="Times New Roman" w:hAnsi="Arial" w:cs="Arial"/>
          <w:color w:val="000000"/>
          <w:lang w:eastAsia="pt-BR"/>
        </w:rPr>
        <w:t xml:space="preserve"> em 31 de dezembro de </w:t>
      </w:r>
      <w:r w:rsidR="00150662" w:rsidRPr="00B14E90">
        <w:rPr>
          <w:rFonts w:ascii="Arial" w:eastAsia="Times New Roman" w:hAnsi="Arial" w:cs="Arial"/>
          <w:color w:val="000000"/>
          <w:lang w:eastAsia="pt-BR"/>
        </w:rPr>
        <w:t>202</w:t>
      </w:r>
      <w:r w:rsidR="001A2677" w:rsidRPr="00B14E90">
        <w:rPr>
          <w:rFonts w:ascii="Arial" w:eastAsia="Times New Roman" w:hAnsi="Arial" w:cs="Arial"/>
          <w:color w:val="000000"/>
          <w:lang w:eastAsia="pt-BR"/>
        </w:rPr>
        <w:t>X</w:t>
      </w:r>
      <w:r w:rsidRPr="00B14E90">
        <w:rPr>
          <w:rFonts w:ascii="Arial" w:eastAsia="Times New Roman" w:hAnsi="Arial" w:cs="Arial"/>
          <w:color w:val="000000"/>
          <w:lang w:eastAsia="pt-BR"/>
        </w:rPr>
        <w:t xml:space="preserve"> e </w:t>
      </w:r>
      <w:r w:rsidRPr="00B14E90">
        <w:rPr>
          <w:rFonts w:ascii="Arial" w:eastAsia="Times New Roman" w:hAnsi="Arial" w:cs="Arial"/>
          <w:color w:val="000000"/>
          <w:highlight w:val="yellow"/>
          <w:lang w:eastAsia="pt-BR"/>
        </w:rPr>
        <w:t>as demonstrações das variações patrimoniais</w:t>
      </w:r>
      <w:r w:rsidRPr="00B14E90">
        <w:rPr>
          <w:rFonts w:ascii="Arial" w:eastAsia="Times New Roman" w:hAnsi="Arial" w:cs="Arial"/>
          <w:color w:val="000000"/>
          <w:lang w:eastAsia="pt-BR"/>
        </w:rPr>
        <w:t xml:space="preserve"> para o exercício findo nessa data, bem como as correspondentes notas explicativas, incluindo o resumo das principais políticas</w:t>
      </w:r>
      <w:r w:rsidR="008E1E67" w:rsidRPr="00B14E90">
        <w:rPr>
          <w:rFonts w:ascii="Arial" w:eastAsia="Times New Roman" w:hAnsi="Arial" w:cs="Arial"/>
          <w:color w:val="000000"/>
          <w:lang w:eastAsia="pt-BR"/>
        </w:rPr>
        <w:t> </w:t>
      </w:r>
      <w:r w:rsidRPr="00B14E90">
        <w:rPr>
          <w:rFonts w:ascii="Arial" w:eastAsia="Times New Roman" w:hAnsi="Arial" w:cs="Arial"/>
          <w:color w:val="000000"/>
          <w:lang w:eastAsia="pt-BR"/>
        </w:rPr>
        <w:t>contábeis.</w:t>
      </w:r>
    </w:p>
    <w:p w14:paraId="55ECCD6B" w14:textId="2A297E34" w:rsidR="00695C00" w:rsidRPr="00B14E90" w:rsidRDefault="00695C00" w:rsidP="00695C00">
      <w:pPr>
        <w:spacing w:before="120" w:after="0" w:line="240" w:lineRule="auto"/>
        <w:ind w:hanging="11"/>
        <w:jc w:val="both"/>
        <w:rPr>
          <w:rFonts w:ascii="Arial" w:eastAsia="Times New Roman" w:hAnsi="Arial" w:cs="Arial"/>
          <w:color w:val="000000"/>
          <w:lang w:eastAsia="pt-BR"/>
        </w:rPr>
      </w:pPr>
      <w:r w:rsidRPr="00B14E90">
        <w:rPr>
          <w:rFonts w:ascii="Arial" w:eastAsia="Times New Roman" w:hAnsi="Arial" w:cs="Arial"/>
          <w:color w:val="000000"/>
          <w:lang w:eastAsia="pt-BR"/>
        </w:rPr>
        <w:t xml:space="preserve">Em nossa opinião, </w:t>
      </w:r>
      <w:r w:rsidRPr="00B14E90">
        <w:rPr>
          <w:rFonts w:ascii="Arial" w:eastAsia="Times New Roman" w:hAnsi="Arial" w:cs="Arial"/>
          <w:color w:val="000000"/>
          <w:highlight w:val="yellow"/>
          <w:lang w:eastAsia="pt-BR"/>
        </w:rPr>
        <w:t xml:space="preserve">devido à importância dos assuntos discutidos no parágrafo </w:t>
      </w:r>
      <w:r w:rsidR="00F24597" w:rsidRPr="00B14E90">
        <w:rPr>
          <w:rFonts w:ascii="Arial" w:eastAsia="Times New Roman" w:hAnsi="Arial" w:cs="Arial"/>
          <w:color w:val="000000"/>
          <w:highlight w:val="yellow"/>
          <w:lang w:eastAsia="pt-BR"/>
        </w:rPr>
        <w:t xml:space="preserve">a seguir </w:t>
      </w:r>
      <w:r w:rsidRPr="00B14E90">
        <w:rPr>
          <w:rFonts w:ascii="Arial" w:eastAsia="Times New Roman" w:hAnsi="Arial" w:cs="Arial"/>
          <w:color w:val="000000"/>
          <w:highlight w:val="yellow"/>
          <w:lang w:eastAsia="pt-BR"/>
        </w:rPr>
        <w:t>intitulado “Base para opinião adversa</w:t>
      </w:r>
      <w:r w:rsidR="0003679F" w:rsidRPr="00B14E90">
        <w:rPr>
          <w:rFonts w:ascii="Arial" w:eastAsia="Times New Roman" w:hAnsi="Arial" w:cs="Arial"/>
          <w:color w:val="000000"/>
          <w:highlight w:val="yellow"/>
          <w:lang w:eastAsia="pt-BR"/>
        </w:rPr>
        <w:t xml:space="preserve"> sobre as demonstrações contábeis</w:t>
      </w:r>
      <w:r w:rsidRPr="00B14E90">
        <w:rPr>
          <w:rFonts w:ascii="Arial" w:eastAsia="Times New Roman" w:hAnsi="Arial" w:cs="Arial"/>
          <w:color w:val="000000"/>
          <w:highlight w:val="yellow"/>
          <w:lang w:eastAsia="pt-BR"/>
        </w:rPr>
        <w:t>”, as demonstrações contábeis acima referidas não</w:t>
      </w:r>
      <w:r w:rsidRPr="00B14E90">
        <w:rPr>
          <w:rFonts w:ascii="Arial" w:eastAsia="Times New Roman" w:hAnsi="Arial" w:cs="Arial"/>
          <w:color w:val="000000"/>
          <w:lang w:eastAsia="pt-BR"/>
        </w:rPr>
        <w:t xml:space="preserve"> apresentam adequadamente, em todos os aspectos relevantes, a posição patrimonial e financeira da entidade em 31 de dezembro de </w:t>
      </w:r>
      <w:r w:rsidR="00150662" w:rsidRPr="00B14E90">
        <w:rPr>
          <w:rFonts w:ascii="Arial" w:eastAsia="Times New Roman" w:hAnsi="Arial" w:cs="Arial"/>
          <w:color w:val="000000"/>
          <w:lang w:eastAsia="pt-BR"/>
        </w:rPr>
        <w:t>202</w:t>
      </w:r>
      <w:r w:rsidR="001A2677" w:rsidRPr="00B14E90">
        <w:rPr>
          <w:rFonts w:ascii="Arial" w:eastAsia="Times New Roman" w:hAnsi="Arial" w:cs="Arial"/>
          <w:color w:val="000000"/>
          <w:lang w:eastAsia="pt-BR"/>
        </w:rPr>
        <w:t>X</w:t>
      </w:r>
      <w:r w:rsidRPr="00B14E90">
        <w:rPr>
          <w:rFonts w:ascii="Arial" w:eastAsia="Times New Roman" w:hAnsi="Arial" w:cs="Arial"/>
          <w:color w:val="000000"/>
          <w:lang w:eastAsia="pt-BR"/>
        </w:rPr>
        <w:t xml:space="preserve">, de acordo com as práticas contábeis adotadas no Brasil </w:t>
      </w:r>
      <w:r w:rsidR="001C4885" w:rsidRPr="00B14E90">
        <w:rPr>
          <w:rFonts w:ascii="Arial" w:eastAsia="Times New Roman" w:hAnsi="Arial" w:cs="Arial"/>
          <w:color w:val="000000"/>
          <w:lang w:eastAsia="pt-BR"/>
        </w:rPr>
        <w:t>aplicadas a</w:t>
      </w:r>
      <w:r w:rsidRPr="00B14E90">
        <w:rPr>
          <w:rFonts w:ascii="Arial" w:eastAsia="Times New Roman" w:hAnsi="Arial" w:cs="Arial"/>
          <w:color w:val="000000"/>
          <w:lang w:eastAsia="pt-BR"/>
        </w:rPr>
        <w:t>o setor público.</w:t>
      </w:r>
    </w:p>
    <w:p w14:paraId="78917662" w14:textId="33965888" w:rsidR="00695C00" w:rsidRPr="00B14E90" w:rsidRDefault="00695C00" w:rsidP="00695C00">
      <w:pPr>
        <w:spacing w:before="120" w:after="0" w:line="240" w:lineRule="auto"/>
        <w:jc w:val="both"/>
        <w:rPr>
          <w:rFonts w:ascii="Arial" w:eastAsia="Times New Roman" w:hAnsi="Arial" w:cs="Arial"/>
          <w:b/>
          <w:color w:val="000000"/>
          <w:lang w:eastAsia="pt-BR"/>
        </w:rPr>
      </w:pPr>
      <w:r w:rsidRPr="00B14E90">
        <w:rPr>
          <w:rFonts w:ascii="Arial" w:eastAsia="Times New Roman" w:hAnsi="Arial" w:cs="Arial"/>
          <w:b/>
          <w:color w:val="000000"/>
          <w:lang w:eastAsia="pt-BR"/>
        </w:rPr>
        <w:t>Base para opinião adversa</w:t>
      </w:r>
      <w:r w:rsidR="0003679F" w:rsidRPr="00B14E90">
        <w:rPr>
          <w:rFonts w:ascii="Arial" w:eastAsia="Times New Roman" w:hAnsi="Arial" w:cs="Arial"/>
          <w:b/>
          <w:color w:val="000000"/>
          <w:lang w:eastAsia="pt-BR"/>
        </w:rPr>
        <w:t xml:space="preserve"> sobre as demonstrações contábeis</w:t>
      </w:r>
    </w:p>
    <w:p w14:paraId="314866F2" w14:textId="77777777" w:rsidR="00D578A2" w:rsidRPr="00B14E90" w:rsidRDefault="00FF3638" w:rsidP="00695C00">
      <w:pPr>
        <w:spacing w:before="120" w:after="0" w:line="240" w:lineRule="auto"/>
        <w:jc w:val="both"/>
        <w:rPr>
          <w:rFonts w:ascii="Arial" w:eastAsia="Times New Roman" w:hAnsi="Arial" w:cs="Arial"/>
          <w:color w:val="000000"/>
          <w:lang w:eastAsia="pt-BR"/>
        </w:rPr>
      </w:pPr>
      <w:r w:rsidRPr="00B14E90">
        <w:rPr>
          <w:rFonts w:ascii="Arial" w:eastAsia="Times New Roman" w:hAnsi="Arial" w:cs="Arial"/>
          <w:color w:val="000000"/>
          <w:lang w:eastAsia="pt-BR"/>
        </w:rPr>
        <w:t>Muitos elementos das demonstrações contábeis acima referidas estão afetados de forma relevante</w:t>
      </w:r>
      <w:r w:rsidR="00B3757E" w:rsidRPr="00B14E90">
        <w:rPr>
          <w:rFonts w:ascii="Arial" w:eastAsia="Times New Roman" w:hAnsi="Arial" w:cs="Arial"/>
          <w:color w:val="000000"/>
          <w:lang w:eastAsia="pt-BR"/>
        </w:rPr>
        <w:t>,</w:t>
      </w:r>
      <w:r w:rsidRPr="00B14E90">
        <w:rPr>
          <w:rFonts w:ascii="Arial" w:eastAsia="Times New Roman" w:hAnsi="Arial" w:cs="Arial"/>
          <w:color w:val="000000"/>
          <w:lang w:eastAsia="pt-BR"/>
        </w:rPr>
        <w:t xml:space="preserve"> dada a generalização dos efeitos das distorções</w:t>
      </w:r>
      <w:r w:rsidR="00F72F80" w:rsidRPr="00B14E90">
        <w:rPr>
          <w:rFonts w:ascii="Arial" w:eastAsia="Times New Roman" w:hAnsi="Arial" w:cs="Arial"/>
          <w:color w:val="000000"/>
          <w:lang w:eastAsia="pt-BR"/>
        </w:rPr>
        <w:t>,</w:t>
      </w:r>
      <w:r w:rsidRPr="00B14E90">
        <w:rPr>
          <w:rFonts w:ascii="Arial" w:eastAsia="Times New Roman" w:hAnsi="Arial" w:cs="Arial"/>
          <w:color w:val="000000"/>
          <w:lang w:eastAsia="pt-BR"/>
        </w:rPr>
        <w:t xml:space="preserve"> </w:t>
      </w:r>
      <w:r w:rsidR="000C3476" w:rsidRPr="00B14E90">
        <w:rPr>
          <w:rFonts w:ascii="Arial" w:eastAsia="Times New Roman" w:hAnsi="Arial" w:cs="Arial"/>
          <w:color w:val="000000"/>
          <w:lang w:eastAsia="pt-BR"/>
        </w:rPr>
        <w:t xml:space="preserve">quantificados </w:t>
      </w:r>
      <w:r w:rsidR="00F72F80" w:rsidRPr="00B14E90">
        <w:rPr>
          <w:rFonts w:ascii="Arial" w:eastAsia="Times New Roman" w:hAnsi="Arial" w:cs="Arial"/>
          <w:color w:val="000000"/>
          <w:lang w:eastAsia="pt-BR"/>
        </w:rPr>
        <w:t xml:space="preserve">e descritos </w:t>
      </w:r>
      <w:r w:rsidR="000C3476" w:rsidRPr="00B14E90">
        <w:rPr>
          <w:rFonts w:ascii="Arial" w:eastAsia="Times New Roman" w:hAnsi="Arial" w:cs="Arial"/>
          <w:color w:val="000000"/>
          <w:lang w:eastAsia="pt-BR"/>
        </w:rPr>
        <w:t xml:space="preserve">a seguir, que </w:t>
      </w:r>
      <w:r w:rsidR="00C71C1B" w:rsidRPr="00B14E90">
        <w:rPr>
          <w:rFonts w:ascii="Arial" w:eastAsia="Times New Roman" w:hAnsi="Arial" w:cs="Arial"/>
          <w:color w:val="000000"/>
          <w:lang w:eastAsia="pt-BR"/>
        </w:rPr>
        <w:t>não estão</w:t>
      </w:r>
      <w:r w:rsidR="000C3476" w:rsidRPr="00B14E90">
        <w:rPr>
          <w:rFonts w:ascii="Arial" w:eastAsia="Times New Roman" w:hAnsi="Arial" w:cs="Arial"/>
          <w:color w:val="000000"/>
          <w:lang w:eastAsia="pt-BR"/>
        </w:rPr>
        <w:t xml:space="preserve"> restritos </w:t>
      </w:r>
      <w:r w:rsidR="00F72F80" w:rsidRPr="00B14E90">
        <w:rPr>
          <w:rFonts w:ascii="Arial" w:eastAsia="Times New Roman" w:hAnsi="Arial" w:cs="Arial"/>
          <w:color w:val="000000"/>
          <w:lang w:eastAsia="pt-BR"/>
        </w:rPr>
        <w:t xml:space="preserve">a </w:t>
      </w:r>
      <w:r w:rsidR="000C3476" w:rsidRPr="00B14E90">
        <w:rPr>
          <w:rFonts w:ascii="Arial" w:eastAsia="Times New Roman" w:hAnsi="Arial" w:cs="Arial"/>
          <w:color w:val="000000"/>
          <w:lang w:eastAsia="pt-BR"/>
        </w:rPr>
        <w:t>contas ou itens específicos</w:t>
      </w:r>
      <w:r w:rsidR="00C71C1B" w:rsidRPr="00B14E90">
        <w:rPr>
          <w:rFonts w:ascii="Arial" w:eastAsia="Times New Roman" w:hAnsi="Arial" w:cs="Arial"/>
          <w:color w:val="000000"/>
          <w:lang w:eastAsia="pt-BR"/>
        </w:rPr>
        <w:t xml:space="preserve"> e </w:t>
      </w:r>
      <w:r w:rsidR="000C3476" w:rsidRPr="00B14E90">
        <w:rPr>
          <w:rFonts w:ascii="Arial" w:eastAsia="Times New Roman" w:hAnsi="Arial" w:cs="Arial"/>
          <w:color w:val="000000"/>
          <w:lang w:eastAsia="pt-BR"/>
        </w:rPr>
        <w:t>representam parcela substancial das demonstrações contábeis</w:t>
      </w:r>
      <w:r w:rsidR="00C00995" w:rsidRPr="00B14E90">
        <w:rPr>
          <w:rFonts w:ascii="Arial" w:eastAsia="Times New Roman" w:hAnsi="Arial" w:cs="Arial"/>
          <w:color w:val="000000"/>
          <w:lang w:eastAsia="pt-BR"/>
        </w:rPr>
        <w:t>.</w:t>
      </w:r>
    </w:p>
    <w:p w14:paraId="7F345BCA" w14:textId="69CF6DB9" w:rsidR="00B24254" w:rsidRPr="00B14E90" w:rsidRDefault="00B24254" w:rsidP="00D578A2">
      <w:pPr>
        <w:pStyle w:val="PargrafodaLista"/>
        <w:numPr>
          <w:ilvl w:val="0"/>
          <w:numId w:val="21"/>
        </w:numPr>
        <w:spacing w:before="120" w:after="0" w:line="240" w:lineRule="auto"/>
        <w:ind w:left="357" w:hanging="357"/>
        <w:contextualSpacing w:val="0"/>
        <w:jc w:val="both"/>
        <w:rPr>
          <w:rFonts w:ascii="Arial" w:eastAsia="Times New Roman" w:hAnsi="Arial" w:cs="Arial"/>
          <w:b/>
          <w:bCs/>
          <w:color w:val="000000"/>
          <w:lang w:eastAsia="pt-BR"/>
        </w:rPr>
      </w:pPr>
      <w:r w:rsidRPr="00B14E90">
        <w:rPr>
          <w:rFonts w:ascii="Arial" w:eastAsia="Times New Roman" w:hAnsi="Arial" w:cs="Arial"/>
          <w:b/>
          <w:bCs/>
          <w:color w:val="000000"/>
          <w:lang w:eastAsia="pt-BR"/>
        </w:rPr>
        <w:t>Distorções de valor</w:t>
      </w:r>
    </w:p>
    <w:p w14:paraId="06131A79" w14:textId="7374A1B6" w:rsidR="0068284A" w:rsidRPr="00B14E90" w:rsidRDefault="002B3FC2" w:rsidP="002B3FC2">
      <w:pPr>
        <w:pStyle w:val="PargrafodaLista"/>
        <w:numPr>
          <w:ilvl w:val="1"/>
          <w:numId w:val="21"/>
        </w:numPr>
        <w:spacing w:before="120" w:after="0" w:line="240" w:lineRule="auto"/>
        <w:ind w:left="357" w:hanging="357"/>
        <w:contextualSpacing w:val="0"/>
        <w:jc w:val="both"/>
        <w:rPr>
          <w:rFonts w:ascii="Arial" w:eastAsia="Times New Roman" w:hAnsi="Arial" w:cs="Arial"/>
          <w:color w:val="000000"/>
          <w:highlight w:val="yellow"/>
          <w:lang w:eastAsia="pt-BR"/>
        </w:rPr>
      </w:pPr>
      <w:r w:rsidRPr="00B14E90">
        <w:rPr>
          <w:rFonts w:ascii="Arial" w:hAnsi="Arial" w:cs="Arial"/>
          <w:highlight w:val="yellow"/>
        </w:rPr>
        <w:t xml:space="preserve">R$ </w:t>
      </w:r>
      <w:r w:rsidR="0028667D" w:rsidRPr="00B14E90">
        <w:rPr>
          <w:rFonts w:ascii="Arial" w:hAnsi="Arial" w:cs="Arial"/>
          <w:highlight w:val="yellow"/>
        </w:rPr>
        <w:t>...</w:t>
      </w:r>
      <w:r w:rsidRPr="00B14E90">
        <w:rPr>
          <w:rFonts w:ascii="Arial" w:hAnsi="Arial" w:cs="Arial"/>
          <w:highlight w:val="yellow"/>
        </w:rPr>
        <w:t xml:space="preserve"> de despesas do exercício de 201</w:t>
      </w:r>
      <w:r w:rsidR="0028667D" w:rsidRPr="00B14E90">
        <w:rPr>
          <w:rFonts w:ascii="Arial" w:hAnsi="Arial" w:cs="Arial"/>
          <w:highlight w:val="yellow"/>
        </w:rPr>
        <w:t>9</w:t>
      </w:r>
      <w:r w:rsidRPr="00B14E90">
        <w:rPr>
          <w:rFonts w:ascii="Arial" w:hAnsi="Arial" w:cs="Arial"/>
          <w:highlight w:val="yellow"/>
        </w:rPr>
        <w:t xml:space="preserve"> reconhecidas no exercício de 20</w:t>
      </w:r>
      <w:r w:rsidR="0028667D" w:rsidRPr="00B14E90">
        <w:rPr>
          <w:rFonts w:ascii="Arial" w:hAnsi="Arial" w:cs="Arial"/>
          <w:highlight w:val="yellow"/>
        </w:rPr>
        <w:t>20</w:t>
      </w:r>
      <w:r w:rsidRPr="00B14E90">
        <w:rPr>
          <w:rFonts w:ascii="Arial" w:hAnsi="Arial" w:cs="Arial"/>
          <w:highlight w:val="yellow"/>
        </w:rPr>
        <w:t>, tornando superavaliadas as despesas</w:t>
      </w:r>
      <w:r w:rsidR="003B749F" w:rsidRPr="00B14E90">
        <w:rPr>
          <w:rFonts w:ascii="Arial" w:hAnsi="Arial" w:cs="Arial"/>
          <w:highlight w:val="yellow"/>
        </w:rPr>
        <w:t xml:space="preserve"> do exercício </w:t>
      </w:r>
      <w:r w:rsidRPr="00B14E90">
        <w:rPr>
          <w:rFonts w:ascii="Arial" w:hAnsi="Arial" w:cs="Arial"/>
          <w:highlight w:val="yellow"/>
        </w:rPr>
        <w:t>e, por consequência, subavaliado</w:t>
      </w:r>
      <w:r w:rsidR="00566F90" w:rsidRPr="00B14E90">
        <w:rPr>
          <w:rFonts w:ascii="Arial" w:hAnsi="Arial" w:cs="Arial"/>
          <w:highlight w:val="yellow"/>
        </w:rPr>
        <w:t xml:space="preserve"> </w:t>
      </w:r>
      <w:r w:rsidRPr="00B14E90">
        <w:rPr>
          <w:rFonts w:ascii="Arial" w:hAnsi="Arial" w:cs="Arial"/>
          <w:highlight w:val="yellow"/>
        </w:rPr>
        <w:t>o resultado patrimonial</w:t>
      </w:r>
      <w:r w:rsidR="0028667D" w:rsidRPr="00B14E90">
        <w:rPr>
          <w:rFonts w:ascii="Arial" w:hAnsi="Arial" w:cs="Arial"/>
          <w:highlight w:val="yellow"/>
        </w:rPr>
        <w:t> </w:t>
      </w:r>
      <w:r w:rsidR="003B749F" w:rsidRPr="00B14E90">
        <w:rPr>
          <w:rFonts w:ascii="Arial" w:hAnsi="Arial" w:cs="Arial"/>
          <w:highlight w:val="yellow"/>
        </w:rPr>
        <w:t>(DVP e BP)</w:t>
      </w:r>
      <w:r w:rsidRPr="00B14E90">
        <w:rPr>
          <w:rFonts w:ascii="Arial" w:hAnsi="Arial" w:cs="Arial"/>
          <w:highlight w:val="yellow"/>
        </w:rPr>
        <w:t>;</w:t>
      </w:r>
      <w:r w:rsidR="007761BF" w:rsidRPr="00B14E90">
        <w:rPr>
          <w:rFonts w:ascii="Arial" w:eastAsia="Times New Roman" w:hAnsi="Arial" w:cs="Arial"/>
          <w:color w:val="000000"/>
          <w:highlight w:val="yellow"/>
          <w:lang w:eastAsia="pt-BR"/>
        </w:rPr>
        <w:t xml:space="preserve"> </w:t>
      </w:r>
    </w:p>
    <w:p w14:paraId="4E345E17" w14:textId="363CE79B" w:rsidR="0068284A" w:rsidRPr="00B14E90" w:rsidRDefault="00392204" w:rsidP="00D578A2">
      <w:pPr>
        <w:pStyle w:val="PargrafodaLista"/>
        <w:numPr>
          <w:ilvl w:val="1"/>
          <w:numId w:val="21"/>
        </w:numPr>
        <w:spacing w:before="120" w:after="0" w:line="240" w:lineRule="auto"/>
        <w:ind w:left="426" w:hanging="426"/>
        <w:contextualSpacing w:val="0"/>
        <w:jc w:val="both"/>
        <w:rPr>
          <w:rFonts w:ascii="Arial" w:eastAsia="Times New Roman" w:hAnsi="Arial" w:cs="Arial"/>
          <w:color w:val="000000"/>
          <w:highlight w:val="yellow"/>
          <w:lang w:eastAsia="pt-BR"/>
        </w:rPr>
      </w:pPr>
      <w:r w:rsidRPr="00B14E90">
        <w:rPr>
          <w:rFonts w:ascii="Arial" w:hAnsi="Arial" w:cs="Arial"/>
          <w:highlight w:val="yellow"/>
        </w:rPr>
        <w:t xml:space="preserve">R$ </w:t>
      </w:r>
      <w:r w:rsidR="0028667D" w:rsidRPr="00B14E90">
        <w:rPr>
          <w:rFonts w:ascii="Arial" w:hAnsi="Arial" w:cs="Arial"/>
          <w:highlight w:val="yellow"/>
        </w:rPr>
        <w:t>...</w:t>
      </w:r>
      <w:r w:rsidRPr="00B14E90">
        <w:rPr>
          <w:rFonts w:ascii="Arial" w:hAnsi="Arial" w:cs="Arial"/>
          <w:highlight w:val="yellow"/>
        </w:rPr>
        <w:t xml:space="preserve"> de ativos e receita </w:t>
      </w:r>
      <w:r w:rsidR="0028667D" w:rsidRPr="00B14E90">
        <w:rPr>
          <w:rFonts w:ascii="Arial" w:hAnsi="Arial" w:cs="Arial"/>
          <w:highlight w:val="yellow"/>
        </w:rPr>
        <w:t>...</w:t>
      </w:r>
      <w:r w:rsidRPr="00B14E90">
        <w:rPr>
          <w:rFonts w:ascii="Arial" w:hAnsi="Arial" w:cs="Arial"/>
          <w:highlight w:val="yellow"/>
        </w:rPr>
        <w:t xml:space="preserve"> reconhecidos em duplicidade, tornando superavaliados o saldo da referida conta contábil</w:t>
      </w:r>
      <w:r w:rsidR="003B749F" w:rsidRPr="00B14E90">
        <w:rPr>
          <w:rFonts w:ascii="Arial" w:hAnsi="Arial" w:cs="Arial"/>
          <w:highlight w:val="yellow"/>
        </w:rPr>
        <w:t xml:space="preserve"> (BP)</w:t>
      </w:r>
      <w:r w:rsidRPr="00B14E90">
        <w:rPr>
          <w:rFonts w:ascii="Arial" w:hAnsi="Arial" w:cs="Arial"/>
          <w:highlight w:val="yellow"/>
        </w:rPr>
        <w:t xml:space="preserve"> e o respectivo resultado patrimonial</w:t>
      </w:r>
      <w:r w:rsidR="003B749F" w:rsidRPr="00B14E90">
        <w:rPr>
          <w:rFonts w:ascii="Arial" w:hAnsi="Arial" w:cs="Arial"/>
          <w:highlight w:val="yellow"/>
        </w:rPr>
        <w:t xml:space="preserve"> (DVP e BP)</w:t>
      </w:r>
      <w:r w:rsidR="007761BF" w:rsidRPr="00B14E90">
        <w:rPr>
          <w:rFonts w:ascii="Arial" w:eastAsia="Times New Roman" w:hAnsi="Arial" w:cs="Arial"/>
          <w:color w:val="000000"/>
          <w:highlight w:val="yellow"/>
          <w:lang w:eastAsia="pt-BR"/>
        </w:rPr>
        <w:t xml:space="preserve">; </w:t>
      </w:r>
    </w:p>
    <w:p w14:paraId="0F278A31" w14:textId="5A91F245" w:rsidR="0068284A" w:rsidRPr="00B14E90" w:rsidRDefault="003C063D" w:rsidP="00D578A2">
      <w:pPr>
        <w:pStyle w:val="PargrafodaLista"/>
        <w:numPr>
          <w:ilvl w:val="1"/>
          <w:numId w:val="21"/>
        </w:numPr>
        <w:spacing w:before="120" w:after="0" w:line="240" w:lineRule="auto"/>
        <w:ind w:left="426" w:hanging="426"/>
        <w:contextualSpacing w:val="0"/>
        <w:jc w:val="both"/>
        <w:rPr>
          <w:rFonts w:ascii="Arial" w:eastAsia="Times New Roman" w:hAnsi="Arial" w:cs="Arial"/>
          <w:color w:val="000000"/>
          <w:highlight w:val="yellow"/>
          <w:lang w:eastAsia="pt-BR"/>
        </w:rPr>
      </w:pPr>
      <w:r w:rsidRPr="00B14E90">
        <w:rPr>
          <w:rFonts w:ascii="Arial" w:hAnsi="Arial" w:cs="Arial"/>
          <w:highlight w:val="yellow"/>
        </w:rPr>
        <w:t xml:space="preserve">R$ </w:t>
      </w:r>
      <w:r w:rsidR="0028667D" w:rsidRPr="00B14E90">
        <w:rPr>
          <w:rFonts w:ascii="Arial" w:eastAsia="Times New Roman" w:hAnsi="Arial" w:cs="Arial"/>
          <w:highlight w:val="yellow"/>
          <w:lang w:eastAsia="pt-BR"/>
        </w:rPr>
        <w:t>...</w:t>
      </w:r>
      <w:r w:rsidRPr="00B14E90">
        <w:rPr>
          <w:rFonts w:ascii="Arial" w:eastAsia="Times New Roman" w:hAnsi="Arial" w:cs="Arial"/>
          <w:highlight w:val="yellow"/>
          <w:lang w:eastAsia="pt-BR"/>
        </w:rPr>
        <w:t>, pelo menos,</w:t>
      </w:r>
      <w:r w:rsidR="00840440" w:rsidRPr="00B14E90">
        <w:rPr>
          <w:rFonts w:ascii="Arial" w:hAnsi="Arial" w:cs="Arial"/>
          <w:highlight w:val="yellow"/>
        </w:rPr>
        <w:t xml:space="preserve"> de ajuste para perdas </w:t>
      </w:r>
      <w:r w:rsidR="0028667D" w:rsidRPr="00B14E90">
        <w:rPr>
          <w:rFonts w:ascii="Arial" w:hAnsi="Arial" w:cs="Arial"/>
          <w:highlight w:val="yellow"/>
        </w:rPr>
        <w:t>...</w:t>
      </w:r>
      <w:r w:rsidR="00840440" w:rsidRPr="00B14E90">
        <w:rPr>
          <w:rFonts w:ascii="Arial" w:hAnsi="Arial" w:cs="Arial"/>
          <w:highlight w:val="yellow"/>
        </w:rPr>
        <w:t>, tornando superavaliado o saldo da referida conta contábil (BP)</w:t>
      </w:r>
      <w:r w:rsidRPr="00B14E90">
        <w:rPr>
          <w:rFonts w:ascii="Arial" w:hAnsi="Arial" w:cs="Arial"/>
          <w:highlight w:val="yellow"/>
        </w:rPr>
        <w:t xml:space="preserve"> </w:t>
      </w:r>
      <w:r w:rsidR="00840440" w:rsidRPr="00B14E90">
        <w:rPr>
          <w:rFonts w:ascii="Arial" w:hAnsi="Arial" w:cs="Arial"/>
          <w:highlight w:val="yellow"/>
        </w:rPr>
        <w:t>e o resultado patrimonial do exercício (DVP e BP) e subavaliado o total das despesas (DVP)</w:t>
      </w:r>
      <w:r w:rsidR="007761BF" w:rsidRPr="00B14E90">
        <w:rPr>
          <w:rFonts w:ascii="Arial" w:eastAsia="Times New Roman" w:hAnsi="Arial" w:cs="Arial"/>
          <w:color w:val="000000"/>
          <w:highlight w:val="yellow"/>
          <w:lang w:eastAsia="pt-BR"/>
        </w:rPr>
        <w:t xml:space="preserve">; </w:t>
      </w:r>
    </w:p>
    <w:p w14:paraId="2C0815F6" w14:textId="314E17C0" w:rsidR="0028667D" w:rsidRPr="00B14E90" w:rsidRDefault="0028667D" w:rsidP="00D578A2">
      <w:pPr>
        <w:pStyle w:val="PargrafodaLista"/>
        <w:numPr>
          <w:ilvl w:val="1"/>
          <w:numId w:val="21"/>
        </w:numPr>
        <w:spacing w:before="120" w:after="0" w:line="240" w:lineRule="auto"/>
        <w:ind w:left="426" w:hanging="426"/>
        <w:contextualSpacing w:val="0"/>
        <w:jc w:val="both"/>
        <w:rPr>
          <w:rFonts w:ascii="Arial" w:eastAsia="Times New Roman" w:hAnsi="Arial" w:cs="Arial"/>
          <w:color w:val="000000"/>
          <w:lang w:eastAsia="pt-BR"/>
        </w:rPr>
      </w:pPr>
      <w:r w:rsidRPr="00B14E90">
        <w:rPr>
          <w:rFonts w:ascii="Arial" w:eastAsia="Times New Roman" w:hAnsi="Arial" w:cs="Arial"/>
          <w:color w:val="000000"/>
          <w:lang w:eastAsia="pt-BR"/>
        </w:rPr>
        <w:t>...</w:t>
      </w:r>
    </w:p>
    <w:p w14:paraId="1BF1FDF7" w14:textId="208C31AD" w:rsidR="0028667D" w:rsidRPr="00B14E90" w:rsidRDefault="0028667D" w:rsidP="00D578A2">
      <w:pPr>
        <w:pStyle w:val="PargrafodaLista"/>
        <w:numPr>
          <w:ilvl w:val="1"/>
          <w:numId w:val="21"/>
        </w:numPr>
        <w:spacing w:before="120" w:after="0" w:line="240" w:lineRule="auto"/>
        <w:ind w:left="426" w:hanging="426"/>
        <w:contextualSpacing w:val="0"/>
        <w:jc w:val="both"/>
        <w:rPr>
          <w:rFonts w:ascii="Arial" w:eastAsia="Times New Roman" w:hAnsi="Arial" w:cs="Arial"/>
          <w:color w:val="000000"/>
          <w:lang w:eastAsia="pt-BR"/>
        </w:rPr>
      </w:pPr>
      <w:r w:rsidRPr="00B14E90">
        <w:rPr>
          <w:rFonts w:ascii="Arial" w:eastAsia="Times New Roman" w:hAnsi="Arial" w:cs="Arial"/>
          <w:color w:val="000000"/>
          <w:lang w:eastAsia="pt-BR"/>
        </w:rPr>
        <w:t>...</w:t>
      </w:r>
    </w:p>
    <w:p w14:paraId="3B215176" w14:textId="23F2A1E7" w:rsidR="00B24254" w:rsidRPr="00B14E90" w:rsidRDefault="00B24254" w:rsidP="000B78DA">
      <w:pPr>
        <w:pStyle w:val="PargrafodaLista"/>
        <w:numPr>
          <w:ilvl w:val="0"/>
          <w:numId w:val="21"/>
        </w:numPr>
        <w:spacing w:before="120" w:after="0" w:line="240" w:lineRule="auto"/>
        <w:ind w:left="357" w:hanging="357"/>
        <w:contextualSpacing w:val="0"/>
        <w:jc w:val="both"/>
        <w:rPr>
          <w:rFonts w:ascii="Arial" w:eastAsia="Times New Roman" w:hAnsi="Arial" w:cs="Arial"/>
          <w:b/>
          <w:bCs/>
          <w:color w:val="000000"/>
          <w:lang w:eastAsia="pt-BR"/>
        </w:rPr>
      </w:pPr>
      <w:r w:rsidRPr="00B14E90">
        <w:rPr>
          <w:rFonts w:ascii="Arial" w:eastAsia="Times New Roman" w:hAnsi="Arial" w:cs="Arial"/>
          <w:b/>
          <w:bCs/>
          <w:color w:val="000000"/>
          <w:lang w:eastAsia="pt-BR"/>
        </w:rPr>
        <w:t>Distorções de classificação, apresentação e divulgação</w:t>
      </w:r>
    </w:p>
    <w:p w14:paraId="225D1440" w14:textId="19545B74" w:rsidR="004E76EC" w:rsidRPr="00B14E90" w:rsidRDefault="00532EAC" w:rsidP="000B78DA">
      <w:pPr>
        <w:pStyle w:val="PargrafodaLista"/>
        <w:numPr>
          <w:ilvl w:val="1"/>
          <w:numId w:val="21"/>
        </w:numPr>
        <w:spacing w:before="120" w:after="0" w:line="240" w:lineRule="auto"/>
        <w:ind w:left="426" w:hanging="426"/>
        <w:contextualSpacing w:val="0"/>
        <w:jc w:val="both"/>
        <w:rPr>
          <w:rFonts w:ascii="Arial" w:eastAsia="Times New Roman" w:hAnsi="Arial" w:cs="Arial"/>
          <w:noProof/>
          <w:highlight w:val="yellow"/>
          <w:lang w:eastAsia="pt-BR"/>
        </w:rPr>
      </w:pPr>
      <w:r w:rsidRPr="00B14E90">
        <w:rPr>
          <w:rFonts w:ascii="Arial" w:hAnsi="Arial" w:cs="Arial"/>
          <w:highlight w:val="yellow"/>
        </w:rPr>
        <w:t>F</w:t>
      </w:r>
      <w:r w:rsidR="004E76EC" w:rsidRPr="00B14E90">
        <w:rPr>
          <w:rFonts w:ascii="Arial" w:eastAsia="Times New Roman" w:hAnsi="Arial" w:cs="Arial"/>
          <w:noProof/>
          <w:highlight w:val="yellow"/>
          <w:lang w:eastAsia="pt-BR"/>
        </w:rPr>
        <w:t xml:space="preserve">alta de segregação dos </w:t>
      </w:r>
      <w:r w:rsidR="0028667D" w:rsidRPr="00B14E90">
        <w:rPr>
          <w:rFonts w:ascii="Arial" w:eastAsia="Times New Roman" w:hAnsi="Arial" w:cs="Arial"/>
          <w:noProof/>
          <w:highlight w:val="yellow"/>
          <w:lang w:eastAsia="pt-BR"/>
        </w:rPr>
        <w:t>...</w:t>
      </w:r>
      <w:r w:rsidR="00C84C37" w:rsidRPr="00B14E90">
        <w:rPr>
          <w:rFonts w:ascii="Arial" w:eastAsia="Times New Roman" w:hAnsi="Arial" w:cs="Arial"/>
          <w:noProof/>
          <w:highlight w:val="yellow"/>
          <w:lang w:eastAsia="pt-BR"/>
        </w:rPr>
        <w:t xml:space="preserve"> em circulante e não circulante</w:t>
      </w:r>
      <w:r w:rsidR="000B78DA" w:rsidRPr="00B14E90">
        <w:rPr>
          <w:rFonts w:ascii="Arial" w:eastAsia="Times New Roman" w:hAnsi="Arial" w:cs="Arial"/>
          <w:color w:val="000000"/>
          <w:highlight w:val="yellow"/>
          <w:lang w:eastAsia="pt-BR"/>
        </w:rPr>
        <w:t xml:space="preserve">, afetando a </w:t>
      </w:r>
      <w:r w:rsidR="000B78DA" w:rsidRPr="00B14E90">
        <w:rPr>
          <w:rFonts w:ascii="Arial" w:eastAsia="Times New Roman" w:hAnsi="Arial" w:cs="Arial"/>
          <w:noProof/>
          <w:highlight w:val="yellow"/>
          <w:lang w:eastAsia="pt-BR"/>
        </w:rPr>
        <w:t xml:space="preserve">apresentação da informação </w:t>
      </w:r>
      <w:r w:rsidR="000B78DA" w:rsidRPr="00B14E90">
        <w:rPr>
          <w:rFonts w:ascii="Arial" w:hAnsi="Arial" w:cs="Arial"/>
          <w:color w:val="000000"/>
          <w:highlight w:val="yellow"/>
        </w:rPr>
        <w:t xml:space="preserve">por </w:t>
      </w:r>
      <w:r w:rsidR="000B78DA" w:rsidRPr="00B14E90">
        <w:rPr>
          <w:rFonts w:ascii="Arial" w:eastAsia="Times New Roman" w:hAnsi="Arial" w:cs="Arial"/>
          <w:noProof/>
          <w:highlight w:val="yellow"/>
          <w:lang w:eastAsia="pt-BR"/>
        </w:rPr>
        <w:t xml:space="preserve">não refletir o valor real </w:t>
      </w:r>
      <w:r w:rsidR="0028667D" w:rsidRPr="00B14E90">
        <w:rPr>
          <w:rFonts w:ascii="Arial" w:eastAsia="Times New Roman" w:hAnsi="Arial" w:cs="Arial"/>
          <w:noProof/>
          <w:highlight w:val="yellow"/>
          <w:lang w:eastAsia="pt-BR"/>
        </w:rPr>
        <w:t>...</w:t>
      </w:r>
      <w:r w:rsidR="000B78DA" w:rsidRPr="00B14E90">
        <w:rPr>
          <w:rFonts w:ascii="Arial" w:eastAsia="Times New Roman" w:hAnsi="Arial" w:cs="Arial"/>
          <w:noProof/>
          <w:highlight w:val="yellow"/>
          <w:lang w:eastAsia="pt-BR"/>
        </w:rPr>
        <w:t xml:space="preserve"> nos próximos doze meses</w:t>
      </w:r>
      <w:r w:rsidR="004E76EC" w:rsidRPr="00B14E90">
        <w:rPr>
          <w:rFonts w:ascii="Arial" w:eastAsia="Times New Roman" w:hAnsi="Arial" w:cs="Arial"/>
          <w:noProof/>
          <w:highlight w:val="yellow"/>
          <w:lang w:eastAsia="pt-BR"/>
        </w:rPr>
        <w:t>.</w:t>
      </w:r>
    </w:p>
    <w:p w14:paraId="1EE8B7A9" w14:textId="07426F89" w:rsidR="00DB7B7F" w:rsidRPr="00B14E90" w:rsidRDefault="007D1CE5" w:rsidP="000B78DA">
      <w:pPr>
        <w:pStyle w:val="PargrafodaLista"/>
        <w:numPr>
          <w:ilvl w:val="1"/>
          <w:numId w:val="21"/>
        </w:numPr>
        <w:spacing w:before="120" w:after="0" w:line="240" w:lineRule="auto"/>
        <w:ind w:left="426" w:hanging="426"/>
        <w:contextualSpacing w:val="0"/>
        <w:jc w:val="both"/>
        <w:rPr>
          <w:rFonts w:ascii="Arial" w:eastAsia="Times New Roman" w:hAnsi="Arial" w:cs="Arial"/>
          <w:color w:val="000000"/>
          <w:highlight w:val="yellow"/>
          <w:lang w:eastAsia="pt-BR"/>
        </w:rPr>
      </w:pPr>
      <w:r w:rsidRPr="00B14E90">
        <w:rPr>
          <w:rFonts w:ascii="Arial" w:eastAsia="Times New Roman" w:hAnsi="Arial" w:cs="Arial"/>
          <w:color w:val="000000"/>
          <w:highlight w:val="yellow"/>
          <w:lang w:eastAsia="pt-BR"/>
        </w:rPr>
        <w:t xml:space="preserve">Em </w:t>
      </w:r>
      <w:r w:rsidRPr="00B14E90">
        <w:rPr>
          <w:rFonts w:ascii="Arial" w:eastAsia="Times New Roman" w:hAnsi="Arial" w:cs="Arial"/>
          <w:noProof/>
          <w:highlight w:val="yellow"/>
          <w:lang w:eastAsia="pt-BR"/>
        </w:rPr>
        <w:t>relação</w:t>
      </w:r>
      <w:r w:rsidRPr="00B14E90">
        <w:rPr>
          <w:rFonts w:ascii="Arial" w:eastAsia="Times New Roman" w:hAnsi="Arial" w:cs="Arial"/>
          <w:color w:val="000000"/>
          <w:highlight w:val="yellow"/>
          <w:lang w:eastAsia="pt-BR"/>
        </w:rPr>
        <w:t xml:space="preserve"> às divulgações, as notas explicativas, incluindo o resumo das principais políticas contábeis, </w:t>
      </w:r>
      <w:r w:rsidRPr="00B14E90">
        <w:rPr>
          <w:rFonts w:ascii="Arial" w:eastAsia="Times New Roman" w:hAnsi="Arial" w:cs="Arial"/>
          <w:noProof/>
          <w:highlight w:val="yellow"/>
          <w:lang w:eastAsia="pt-BR"/>
        </w:rPr>
        <w:t xml:space="preserve">não estão elaboradas </w:t>
      </w:r>
      <w:r w:rsidR="00FA3EF0" w:rsidRPr="00B14E90">
        <w:rPr>
          <w:rFonts w:ascii="Arial" w:eastAsia="Times New Roman" w:hAnsi="Arial" w:cs="Arial"/>
          <w:noProof/>
          <w:highlight w:val="yellow"/>
          <w:lang w:eastAsia="pt-BR"/>
        </w:rPr>
        <w:t xml:space="preserve">de acordo </w:t>
      </w:r>
      <w:r w:rsidRPr="00B14E90">
        <w:rPr>
          <w:rFonts w:ascii="Arial" w:eastAsia="Times New Roman" w:hAnsi="Arial" w:cs="Arial"/>
          <w:noProof/>
          <w:highlight w:val="yellow"/>
          <w:lang w:eastAsia="pt-BR"/>
        </w:rPr>
        <w:t>com a estrutura e o conteúdo fundamentais</w:t>
      </w:r>
      <w:r w:rsidRPr="00B14E90">
        <w:rPr>
          <w:rFonts w:ascii="Arial" w:hAnsi="Arial" w:cs="Arial"/>
          <w:highlight w:val="yellow"/>
        </w:rPr>
        <w:t xml:space="preserve"> exigido</w:t>
      </w:r>
      <w:r w:rsidRPr="00B14E90">
        <w:rPr>
          <w:rFonts w:ascii="Arial" w:eastAsia="Times New Roman" w:hAnsi="Arial" w:cs="Arial"/>
          <w:noProof/>
          <w:highlight w:val="yellow"/>
          <w:lang w:eastAsia="pt-BR"/>
        </w:rPr>
        <w:t xml:space="preserve"> pel</w:t>
      </w:r>
      <w:r w:rsidRPr="00B14E90">
        <w:rPr>
          <w:rFonts w:ascii="Arial" w:eastAsia="Times New Roman" w:hAnsi="Arial" w:cs="Arial"/>
          <w:color w:val="000000"/>
          <w:highlight w:val="yellow"/>
          <w:lang w:eastAsia="pt-BR"/>
        </w:rPr>
        <w:t>as práticas contábeis adotadas no Brasil aplicadas ao setor público</w:t>
      </w:r>
      <w:r w:rsidRPr="00B14E90">
        <w:rPr>
          <w:rFonts w:ascii="Arial" w:eastAsia="Times New Roman" w:hAnsi="Arial" w:cs="Arial"/>
          <w:noProof/>
          <w:highlight w:val="yellow"/>
          <w:lang w:eastAsia="pt-BR"/>
        </w:rPr>
        <w:t xml:space="preserve">, em especial, o </w:t>
      </w:r>
      <w:r w:rsidRPr="00B14E90">
        <w:rPr>
          <w:rFonts w:ascii="Arial" w:eastAsia="Times New Roman" w:hAnsi="Arial" w:cs="Arial"/>
          <w:noProof/>
          <w:highlight w:val="yellow"/>
          <w:lang w:eastAsia="pt-BR"/>
        </w:rPr>
        <w:lastRenderedPageBreak/>
        <w:t>Manual de Contabilidade Aplicada ao Setor Público (MCASP) – 8ª Edição, em vigor a partir do exercício de 2019, que orienta a aplicação das Normas Brasileiras de Contabilidade Aplicadas ao Setor Público (NBC TSP) e a legislação aplicável, destacando-se a Lei 4.320/1964 e a Lei Complementar 101/2000</w:t>
      </w:r>
      <w:r w:rsidRPr="00B14E90">
        <w:rPr>
          <w:rFonts w:ascii="Arial" w:hAnsi="Arial" w:cs="Arial"/>
          <w:highlight w:val="yellow"/>
        </w:rPr>
        <w:t>, afetando</w:t>
      </w:r>
      <w:r w:rsidRPr="00B14E90">
        <w:rPr>
          <w:rFonts w:ascii="Arial" w:eastAsia="Times New Roman" w:hAnsi="Arial" w:cs="Arial"/>
          <w:color w:val="000000"/>
          <w:highlight w:val="yellow"/>
          <w:lang w:eastAsia="pt-BR"/>
        </w:rPr>
        <w:t>, de forma significativa, o entendimento das demonstrações contábeis pelos usuários</w:t>
      </w:r>
      <w:r w:rsidR="00C00995" w:rsidRPr="00B14E90">
        <w:rPr>
          <w:rFonts w:ascii="Arial" w:eastAsia="Times New Roman" w:hAnsi="Arial" w:cs="Arial"/>
          <w:noProof/>
          <w:highlight w:val="yellow"/>
          <w:lang w:eastAsia="pt-BR"/>
        </w:rPr>
        <w:t>.</w:t>
      </w:r>
      <w:r w:rsidR="00D27BD5" w:rsidRPr="00B14E90">
        <w:rPr>
          <w:rFonts w:ascii="Arial" w:eastAsia="Times New Roman" w:hAnsi="Arial" w:cs="Arial"/>
          <w:noProof/>
          <w:highlight w:val="yellow"/>
          <w:lang w:eastAsia="pt-BR"/>
        </w:rPr>
        <w:t xml:space="preserve"> </w:t>
      </w:r>
    </w:p>
    <w:p w14:paraId="79430885" w14:textId="3542B16E" w:rsidR="00695C00" w:rsidRPr="00B14E90" w:rsidRDefault="00695C00" w:rsidP="00C905B2">
      <w:pPr>
        <w:keepNext/>
        <w:spacing w:before="120" w:after="0" w:line="240" w:lineRule="auto"/>
        <w:ind w:hanging="11"/>
        <w:jc w:val="both"/>
        <w:rPr>
          <w:rFonts w:ascii="Arial" w:eastAsia="Times New Roman" w:hAnsi="Arial" w:cs="Arial"/>
          <w:b/>
          <w:lang w:eastAsia="pt-BR"/>
        </w:rPr>
      </w:pPr>
      <w:r w:rsidRPr="00B14E90">
        <w:rPr>
          <w:rFonts w:ascii="Arial" w:eastAsia="Times New Roman" w:hAnsi="Arial" w:cs="Arial"/>
          <w:b/>
          <w:lang w:eastAsia="pt-BR"/>
        </w:rPr>
        <w:t xml:space="preserve">Opinião com ressalva sobre a </w:t>
      </w:r>
      <w:r w:rsidR="005F5EAA" w:rsidRPr="00B14E90">
        <w:rPr>
          <w:rFonts w:ascii="Arial" w:eastAsia="Times New Roman" w:hAnsi="Arial" w:cs="Arial"/>
          <w:b/>
          <w:lang w:eastAsia="pt-BR"/>
        </w:rPr>
        <w:t>conformidade</w:t>
      </w:r>
      <w:r w:rsidRPr="00B14E90">
        <w:rPr>
          <w:rFonts w:ascii="Arial" w:eastAsia="Times New Roman" w:hAnsi="Arial" w:cs="Arial"/>
          <w:b/>
          <w:lang w:eastAsia="pt-BR"/>
        </w:rPr>
        <w:t xml:space="preserve"> das transações</w:t>
      </w:r>
      <w:r w:rsidR="005F5EAA" w:rsidRPr="00B14E90">
        <w:rPr>
          <w:rFonts w:ascii="Arial" w:eastAsia="Times New Roman" w:hAnsi="Arial" w:cs="Arial"/>
          <w:b/>
          <w:lang w:eastAsia="pt-BR"/>
        </w:rPr>
        <w:t xml:space="preserve"> subjacentes</w:t>
      </w:r>
    </w:p>
    <w:p w14:paraId="5D520C14" w14:textId="58016AAD" w:rsidR="00F46730" w:rsidRPr="00B14E90" w:rsidRDefault="00695C00" w:rsidP="00695C00">
      <w:pPr>
        <w:spacing w:before="120" w:after="0" w:line="240" w:lineRule="auto"/>
        <w:ind w:right="21"/>
        <w:jc w:val="both"/>
        <w:rPr>
          <w:rFonts w:ascii="Arial" w:eastAsia="Times New Roman" w:hAnsi="Arial" w:cs="Arial"/>
          <w:color w:val="000000"/>
          <w:lang w:eastAsia="pt-BR"/>
        </w:rPr>
      </w:pPr>
      <w:r w:rsidRPr="00B14E90">
        <w:rPr>
          <w:rFonts w:ascii="Arial" w:eastAsia="Times New Roman" w:hAnsi="Arial" w:cs="Arial"/>
          <w:color w:val="000000"/>
          <w:lang w:eastAsia="pt-BR"/>
        </w:rPr>
        <w:t>Em nossa opinião</w:t>
      </w:r>
      <w:r w:rsidRPr="00B14E90">
        <w:rPr>
          <w:rFonts w:ascii="Arial" w:eastAsia="Times New Roman" w:hAnsi="Arial" w:cs="Arial"/>
          <w:color w:val="000000"/>
          <w:highlight w:val="yellow"/>
          <w:lang w:eastAsia="pt-BR"/>
        </w:rPr>
        <w:t xml:space="preserve">, exceto pelos assuntos descritos na seção a seguir “Base para opinião com ressalva sobre a </w:t>
      </w:r>
      <w:r w:rsidR="005F5EAA" w:rsidRPr="00B14E90">
        <w:rPr>
          <w:rFonts w:ascii="Arial" w:eastAsia="Times New Roman" w:hAnsi="Arial" w:cs="Arial"/>
          <w:color w:val="000000"/>
          <w:highlight w:val="yellow"/>
          <w:lang w:eastAsia="pt-BR"/>
        </w:rPr>
        <w:t>conformidade</w:t>
      </w:r>
      <w:r w:rsidRPr="00B14E90">
        <w:rPr>
          <w:rFonts w:ascii="Arial" w:eastAsia="Times New Roman" w:hAnsi="Arial" w:cs="Arial"/>
          <w:color w:val="000000"/>
          <w:highlight w:val="yellow"/>
          <w:lang w:eastAsia="pt-BR"/>
        </w:rPr>
        <w:t xml:space="preserve"> das transações</w:t>
      </w:r>
      <w:r w:rsidR="00051BD9" w:rsidRPr="00B14E90">
        <w:rPr>
          <w:rFonts w:ascii="Arial" w:eastAsia="Times New Roman" w:hAnsi="Arial" w:cs="Arial"/>
          <w:color w:val="000000"/>
          <w:highlight w:val="yellow"/>
          <w:lang w:eastAsia="pt-BR"/>
        </w:rPr>
        <w:t xml:space="preserve"> subjacentes</w:t>
      </w:r>
      <w:r w:rsidRPr="00B14E90">
        <w:rPr>
          <w:rFonts w:ascii="Arial" w:eastAsia="Times New Roman" w:hAnsi="Arial" w:cs="Arial"/>
          <w:color w:val="000000"/>
          <w:highlight w:val="yellow"/>
          <w:lang w:eastAsia="pt-BR"/>
        </w:rPr>
        <w:t>”,</w:t>
      </w:r>
      <w:r w:rsidRPr="00B14E90">
        <w:rPr>
          <w:rFonts w:ascii="Arial" w:eastAsia="Times New Roman" w:hAnsi="Arial" w:cs="Arial"/>
          <w:color w:val="000000"/>
          <w:lang w:eastAsia="pt-BR"/>
        </w:rPr>
        <w:t xml:space="preserve"> as transações subjacentes às demonstrações </w:t>
      </w:r>
      <w:r w:rsidR="00F46730" w:rsidRPr="00B14E90">
        <w:rPr>
          <w:rFonts w:ascii="Arial" w:eastAsia="Times New Roman" w:hAnsi="Arial" w:cs="Arial"/>
          <w:color w:val="000000"/>
          <w:lang w:eastAsia="pt-BR"/>
        </w:rPr>
        <w:t>contábeis</w:t>
      </w:r>
      <w:r w:rsidRPr="00B14E90">
        <w:rPr>
          <w:rFonts w:ascii="Arial" w:eastAsia="Times New Roman" w:hAnsi="Arial" w:cs="Arial"/>
          <w:color w:val="000000"/>
          <w:lang w:eastAsia="pt-BR"/>
        </w:rPr>
        <w:t xml:space="preserve"> acima referidas </w:t>
      </w:r>
      <w:r w:rsidR="00F46730" w:rsidRPr="00B14E90">
        <w:rPr>
          <w:rFonts w:ascii="Arial" w:eastAsia="Times New Roman" w:hAnsi="Arial" w:cs="Arial"/>
          <w:color w:val="000000"/>
          <w:lang w:eastAsia="pt-BR"/>
        </w:rPr>
        <w:t>e os atos de gestão relevantes dos responsáveis</w:t>
      </w:r>
      <w:r w:rsidR="001A2677" w:rsidRPr="00B14E90">
        <w:rPr>
          <w:rFonts w:ascii="Arial" w:eastAsia="Times New Roman" w:hAnsi="Arial" w:cs="Arial"/>
          <w:color w:val="000000"/>
          <w:lang w:eastAsia="pt-BR"/>
        </w:rPr>
        <w:t xml:space="preserve"> </w:t>
      </w:r>
      <w:r w:rsidR="001A2677" w:rsidRPr="00B14E90">
        <w:rPr>
          <w:rFonts w:ascii="Arial" w:eastAsia="Times New Roman" w:hAnsi="Arial" w:cs="Arial"/>
          <w:color w:val="000000"/>
          <w:highlight w:val="yellow"/>
          <w:lang w:eastAsia="pt-BR"/>
        </w:rPr>
        <w:t>não</w:t>
      </w:r>
      <w:r w:rsidR="00F46730" w:rsidRPr="00B14E90">
        <w:rPr>
          <w:rFonts w:ascii="Arial" w:eastAsia="Times New Roman" w:hAnsi="Arial" w:cs="Arial"/>
          <w:color w:val="000000"/>
          <w:lang w:eastAsia="pt-BR"/>
        </w:rPr>
        <w:t xml:space="preserve"> </w:t>
      </w:r>
      <w:r w:rsidRPr="00B14E90">
        <w:rPr>
          <w:rFonts w:ascii="Arial" w:eastAsia="Times New Roman" w:hAnsi="Arial" w:cs="Arial"/>
          <w:color w:val="000000"/>
          <w:lang w:eastAsia="pt-BR"/>
        </w:rPr>
        <w:t xml:space="preserve">estão em conformidade, em todos os aspectos relevantes, </w:t>
      </w:r>
      <w:r w:rsidR="00F46730" w:rsidRPr="00B14E90">
        <w:rPr>
          <w:rFonts w:ascii="Arial" w:eastAsia="Times New Roman" w:hAnsi="Arial" w:cs="Arial"/>
          <w:color w:val="000000"/>
          <w:lang w:eastAsia="pt-BR"/>
        </w:rPr>
        <w:t>com as leis e regulamentos aplicáveis e com os princípios de administração pública que regem a gestão financeira responsável e a conduta d</w:t>
      </w:r>
      <w:r w:rsidR="00580482" w:rsidRPr="00B14E90">
        <w:rPr>
          <w:rFonts w:ascii="Arial" w:eastAsia="Times New Roman" w:hAnsi="Arial" w:cs="Arial"/>
          <w:color w:val="000000"/>
          <w:lang w:eastAsia="pt-BR"/>
        </w:rPr>
        <w:t>e</w:t>
      </w:r>
      <w:r w:rsidR="00F46730" w:rsidRPr="00B14E90">
        <w:rPr>
          <w:rFonts w:ascii="Arial" w:eastAsia="Times New Roman" w:hAnsi="Arial" w:cs="Arial"/>
          <w:color w:val="000000"/>
          <w:lang w:eastAsia="pt-BR"/>
        </w:rPr>
        <w:t xml:space="preserve"> agentes públicos.</w:t>
      </w:r>
    </w:p>
    <w:p w14:paraId="024B1135" w14:textId="57D00039" w:rsidR="00695C00" w:rsidRPr="00B14E90" w:rsidRDefault="00695C00" w:rsidP="00695C00">
      <w:pPr>
        <w:keepNext/>
        <w:spacing w:before="120" w:after="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B14E90">
        <w:rPr>
          <w:rFonts w:ascii="Arial" w:eastAsia="Times New Roman" w:hAnsi="Arial" w:cs="Arial"/>
          <w:b/>
          <w:color w:val="000000"/>
          <w:lang w:eastAsia="pt-BR"/>
        </w:rPr>
        <w:t xml:space="preserve">Base para opinião com ressalva </w:t>
      </w:r>
      <w:r w:rsidR="00051BD9" w:rsidRPr="00B14E90">
        <w:rPr>
          <w:rFonts w:ascii="Arial" w:eastAsia="Times New Roman" w:hAnsi="Arial" w:cs="Arial"/>
          <w:b/>
          <w:lang w:eastAsia="pt-BR"/>
        </w:rPr>
        <w:t>sobre a conformidade das transações subjacentes</w:t>
      </w:r>
    </w:p>
    <w:p w14:paraId="3544638E" w14:textId="76650F29" w:rsidR="00D87C7F" w:rsidRPr="00B14E90" w:rsidRDefault="00E8288E" w:rsidP="00D87C7F">
      <w:pPr>
        <w:spacing w:before="120" w:after="0" w:line="240" w:lineRule="auto"/>
        <w:jc w:val="both"/>
        <w:rPr>
          <w:rFonts w:ascii="Arial" w:eastAsia="Times New Roman" w:hAnsi="Arial" w:cs="Arial"/>
          <w:color w:val="000000"/>
          <w:lang w:eastAsia="pt-BR"/>
        </w:rPr>
      </w:pPr>
      <w:r w:rsidRPr="00B14E90">
        <w:rPr>
          <w:rFonts w:ascii="Arial" w:eastAsia="Times New Roman" w:hAnsi="Arial" w:cs="Arial"/>
          <w:color w:val="000000"/>
          <w:lang w:eastAsia="pt-BR"/>
        </w:rPr>
        <w:t>F</w:t>
      </w:r>
      <w:r w:rsidR="00D87C7F" w:rsidRPr="00B14E90">
        <w:rPr>
          <w:rFonts w:ascii="Arial" w:eastAsia="Times New Roman" w:hAnsi="Arial" w:cs="Arial"/>
          <w:color w:val="000000"/>
          <w:lang w:eastAsia="pt-BR"/>
        </w:rPr>
        <w:t xml:space="preserve">oram identificados desvios de conformidade </w:t>
      </w:r>
      <w:r w:rsidRPr="00B14E90">
        <w:rPr>
          <w:rFonts w:ascii="Arial" w:eastAsia="Times New Roman" w:hAnsi="Arial" w:cs="Arial"/>
          <w:color w:val="000000"/>
          <w:lang w:eastAsia="pt-BR"/>
        </w:rPr>
        <w:t>cujos efeitos</w:t>
      </w:r>
      <w:r w:rsidR="00C46DBA" w:rsidRPr="00B14E90">
        <w:rPr>
          <w:rFonts w:ascii="Arial" w:eastAsia="Times New Roman" w:hAnsi="Arial" w:cs="Arial"/>
          <w:color w:val="000000"/>
          <w:lang w:eastAsia="pt-BR"/>
        </w:rPr>
        <w:t xml:space="preserve"> descritos a seguir são relevantes, tomados individualmente ou em conjunto, mas não generalizadas n</w:t>
      </w:r>
      <w:r w:rsidR="00D87C7F" w:rsidRPr="00B14E90">
        <w:rPr>
          <w:rFonts w:ascii="Arial" w:eastAsia="Times New Roman" w:hAnsi="Arial" w:cs="Arial"/>
          <w:color w:val="000000"/>
          <w:lang w:eastAsia="pt-BR"/>
        </w:rPr>
        <w:t xml:space="preserve">as transações subjacentes </w:t>
      </w:r>
      <w:r w:rsidRPr="00B14E90">
        <w:rPr>
          <w:rFonts w:ascii="Arial" w:eastAsia="Times New Roman" w:hAnsi="Arial" w:cs="Arial"/>
          <w:color w:val="000000"/>
          <w:lang w:eastAsia="pt-BR"/>
        </w:rPr>
        <w:t>às demonstrações contábeis acima referidas</w:t>
      </w:r>
      <w:r w:rsidR="00C46DBA" w:rsidRPr="00B14E90">
        <w:rPr>
          <w:rFonts w:ascii="Arial" w:eastAsia="Times New Roman" w:hAnsi="Arial" w:cs="Arial"/>
          <w:color w:val="000000"/>
          <w:lang w:eastAsia="pt-BR"/>
        </w:rPr>
        <w:t>.</w:t>
      </w:r>
    </w:p>
    <w:p w14:paraId="14DFD45B" w14:textId="77777777" w:rsidR="00695C00" w:rsidRPr="00B14E90" w:rsidRDefault="00695C00" w:rsidP="00204438">
      <w:pPr>
        <w:pStyle w:val="PargrafodaLista"/>
        <w:numPr>
          <w:ilvl w:val="0"/>
          <w:numId w:val="21"/>
        </w:numPr>
        <w:spacing w:before="120" w:after="0" w:line="240" w:lineRule="auto"/>
        <w:ind w:left="357" w:hanging="357"/>
        <w:contextualSpacing w:val="0"/>
        <w:jc w:val="both"/>
        <w:rPr>
          <w:rFonts w:ascii="Arial" w:eastAsia="Times New Roman" w:hAnsi="Arial" w:cs="Arial"/>
          <w:b/>
          <w:bCs/>
          <w:color w:val="000000"/>
          <w:lang w:eastAsia="pt-BR"/>
        </w:rPr>
      </w:pPr>
      <w:r w:rsidRPr="00B14E90">
        <w:rPr>
          <w:rFonts w:ascii="Arial" w:eastAsia="Times New Roman" w:hAnsi="Arial" w:cs="Arial"/>
          <w:b/>
          <w:bCs/>
          <w:color w:val="000000"/>
          <w:lang w:eastAsia="pt-BR"/>
        </w:rPr>
        <w:t>Desvios de conformidade</w:t>
      </w:r>
    </w:p>
    <w:p w14:paraId="69E26014" w14:textId="60813B94" w:rsidR="00695C00" w:rsidRPr="00B14E90" w:rsidRDefault="00402766" w:rsidP="00402766">
      <w:pPr>
        <w:pStyle w:val="PargrafodaLista"/>
        <w:numPr>
          <w:ilvl w:val="1"/>
          <w:numId w:val="21"/>
        </w:numPr>
        <w:spacing w:before="120" w:after="0" w:line="240" w:lineRule="auto"/>
        <w:ind w:left="426" w:hanging="426"/>
        <w:contextualSpacing w:val="0"/>
        <w:jc w:val="both"/>
        <w:rPr>
          <w:rFonts w:ascii="Arial" w:eastAsia="Times New Roman" w:hAnsi="Arial" w:cs="Arial"/>
          <w:color w:val="000000"/>
          <w:highlight w:val="yellow"/>
          <w:lang w:eastAsia="pt-BR"/>
        </w:rPr>
      </w:pPr>
      <w:r w:rsidRPr="00B14E90">
        <w:rPr>
          <w:rFonts w:ascii="Arial" w:eastAsia="Times New Roman" w:hAnsi="Arial" w:cs="Arial"/>
          <w:color w:val="000000"/>
          <w:highlight w:val="yellow"/>
          <w:lang w:eastAsia="pt-BR"/>
        </w:rPr>
        <w:t xml:space="preserve">Divergência </w:t>
      </w:r>
      <w:r w:rsidR="0028667D" w:rsidRPr="00B14E90">
        <w:rPr>
          <w:rFonts w:ascii="Arial" w:eastAsia="Times New Roman" w:hAnsi="Arial" w:cs="Arial"/>
          <w:color w:val="000000"/>
          <w:highlight w:val="yellow"/>
          <w:lang w:eastAsia="pt-BR"/>
        </w:rPr>
        <w:t>...</w:t>
      </w:r>
      <w:r w:rsidR="00957DBA" w:rsidRPr="00B14E90">
        <w:rPr>
          <w:rFonts w:ascii="Arial" w:hAnsi="Arial" w:cs="Arial"/>
          <w:highlight w:val="yellow"/>
        </w:rPr>
        <w:t xml:space="preserve">, no montante global </w:t>
      </w:r>
      <w:r w:rsidR="00597B53" w:rsidRPr="00B14E90">
        <w:rPr>
          <w:rFonts w:ascii="Arial" w:hAnsi="Arial" w:cs="Arial"/>
          <w:highlight w:val="yellow"/>
        </w:rPr>
        <w:t xml:space="preserve">estimado </w:t>
      </w:r>
      <w:r w:rsidR="00957DBA" w:rsidRPr="00B14E90">
        <w:rPr>
          <w:rFonts w:ascii="Arial" w:hAnsi="Arial" w:cs="Arial"/>
          <w:highlight w:val="yellow"/>
        </w:rPr>
        <w:t xml:space="preserve">de R$ </w:t>
      </w:r>
      <w:r w:rsidR="0028667D" w:rsidRPr="00B14E90">
        <w:rPr>
          <w:rFonts w:ascii="Arial" w:hAnsi="Arial" w:cs="Arial"/>
          <w:highlight w:val="yellow"/>
        </w:rPr>
        <w:t>...</w:t>
      </w:r>
      <w:r w:rsidR="00957DBA" w:rsidRPr="00B14E90">
        <w:rPr>
          <w:rFonts w:ascii="Arial" w:hAnsi="Arial" w:cs="Arial"/>
          <w:highlight w:val="yellow"/>
        </w:rPr>
        <w:t xml:space="preserve"> em todo o país.</w:t>
      </w:r>
    </w:p>
    <w:p w14:paraId="5D77E8E9" w14:textId="0265FFF7" w:rsidR="0097753C" w:rsidRPr="00B14E90" w:rsidRDefault="00E41A86" w:rsidP="00402766">
      <w:pPr>
        <w:pStyle w:val="PargrafodaLista"/>
        <w:numPr>
          <w:ilvl w:val="1"/>
          <w:numId w:val="21"/>
        </w:numPr>
        <w:spacing w:before="120" w:after="0" w:line="240" w:lineRule="auto"/>
        <w:ind w:left="426" w:hanging="426"/>
        <w:contextualSpacing w:val="0"/>
        <w:jc w:val="both"/>
        <w:rPr>
          <w:rFonts w:ascii="Arial" w:eastAsia="Times New Roman" w:hAnsi="Arial" w:cs="Arial"/>
          <w:color w:val="000000"/>
          <w:highlight w:val="yellow"/>
          <w:lang w:eastAsia="pt-BR"/>
        </w:rPr>
      </w:pPr>
      <w:bookmarkStart w:id="2" w:name="_Hlk36660306"/>
      <w:bookmarkStart w:id="3" w:name="_Hlk36829575"/>
      <w:r w:rsidRPr="00B14E90">
        <w:rPr>
          <w:rFonts w:ascii="Arial" w:eastAsia="Times New Roman" w:hAnsi="Arial" w:cs="Arial"/>
          <w:color w:val="000000"/>
          <w:highlight w:val="yellow"/>
          <w:lang w:eastAsia="pt-BR"/>
        </w:rPr>
        <w:t xml:space="preserve">Discrepância na </w:t>
      </w:r>
      <w:bookmarkEnd w:id="2"/>
      <w:r w:rsidR="0028667D" w:rsidRPr="00B14E90">
        <w:rPr>
          <w:rFonts w:ascii="Arial" w:eastAsia="Times New Roman" w:hAnsi="Arial" w:cs="Arial"/>
          <w:color w:val="000000"/>
          <w:highlight w:val="yellow"/>
          <w:lang w:eastAsia="pt-BR"/>
        </w:rPr>
        <w:t>... no</w:t>
      </w:r>
      <w:r w:rsidR="0028667D" w:rsidRPr="00B14E90">
        <w:rPr>
          <w:rFonts w:ascii="Arial" w:hAnsi="Arial" w:cs="Arial"/>
          <w:bCs/>
          <w:highlight w:val="yellow"/>
        </w:rPr>
        <w:t xml:space="preserve"> valor de R$ ...</w:t>
      </w:r>
    </w:p>
    <w:bookmarkEnd w:id="3"/>
    <w:p w14:paraId="2633F562" w14:textId="2AEA5505" w:rsidR="00E41A86" w:rsidRPr="00B14E90" w:rsidRDefault="00E41A86" w:rsidP="00402766">
      <w:pPr>
        <w:pStyle w:val="PargrafodaLista"/>
        <w:numPr>
          <w:ilvl w:val="1"/>
          <w:numId w:val="21"/>
        </w:numPr>
        <w:spacing w:before="120" w:after="0" w:line="240" w:lineRule="auto"/>
        <w:ind w:left="426" w:hanging="426"/>
        <w:contextualSpacing w:val="0"/>
        <w:jc w:val="both"/>
        <w:rPr>
          <w:rFonts w:ascii="Arial" w:eastAsia="Times New Roman" w:hAnsi="Arial" w:cs="Arial"/>
          <w:color w:val="000000"/>
          <w:highlight w:val="yellow"/>
          <w:lang w:eastAsia="pt-BR"/>
        </w:rPr>
      </w:pPr>
      <w:r w:rsidRPr="00B14E90">
        <w:rPr>
          <w:rFonts w:ascii="Arial" w:eastAsia="Times New Roman" w:hAnsi="Arial" w:cs="Arial"/>
          <w:color w:val="000000"/>
          <w:highlight w:val="yellow"/>
          <w:lang w:eastAsia="pt-BR"/>
        </w:rPr>
        <w:t xml:space="preserve">Receitas </w:t>
      </w:r>
      <w:r w:rsidR="0028667D" w:rsidRPr="00B14E90">
        <w:rPr>
          <w:rFonts w:ascii="Arial" w:eastAsia="Times New Roman" w:hAnsi="Arial" w:cs="Arial"/>
          <w:color w:val="000000"/>
          <w:highlight w:val="yellow"/>
          <w:lang w:eastAsia="pt-BR"/>
        </w:rPr>
        <w:t>.... no</w:t>
      </w:r>
      <w:r w:rsidR="00B969EF" w:rsidRPr="00B14E90">
        <w:rPr>
          <w:rFonts w:ascii="Arial" w:hAnsi="Arial" w:cs="Arial"/>
          <w:bCs/>
          <w:highlight w:val="yellow"/>
        </w:rPr>
        <w:t xml:space="preserve"> valor de R$ </w:t>
      </w:r>
      <w:r w:rsidR="0028667D" w:rsidRPr="00B14E90">
        <w:rPr>
          <w:rFonts w:ascii="Arial" w:hAnsi="Arial" w:cs="Arial"/>
          <w:bCs/>
          <w:highlight w:val="yellow"/>
        </w:rPr>
        <w:t>...</w:t>
      </w:r>
    </w:p>
    <w:p w14:paraId="5E8DD2F1" w14:textId="06C7BBC7" w:rsidR="00E41A86" w:rsidRPr="00B14E90" w:rsidRDefault="00E41A86" w:rsidP="00402766">
      <w:pPr>
        <w:pStyle w:val="PargrafodaLista"/>
        <w:numPr>
          <w:ilvl w:val="1"/>
          <w:numId w:val="21"/>
        </w:numPr>
        <w:spacing w:before="120" w:after="0" w:line="240" w:lineRule="auto"/>
        <w:ind w:left="426" w:hanging="426"/>
        <w:contextualSpacing w:val="0"/>
        <w:jc w:val="both"/>
        <w:rPr>
          <w:rFonts w:ascii="Arial" w:eastAsia="Times New Roman" w:hAnsi="Arial" w:cs="Arial"/>
          <w:color w:val="000000"/>
          <w:highlight w:val="yellow"/>
          <w:lang w:eastAsia="pt-BR"/>
        </w:rPr>
      </w:pPr>
      <w:r w:rsidRPr="00B14E90">
        <w:rPr>
          <w:rFonts w:ascii="Arial" w:eastAsia="Times New Roman" w:hAnsi="Arial" w:cs="Arial"/>
          <w:color w:val="000000"/>
          <w:highlight w:val="yellow"/>
          <w:lang w:eastAsia="pt-BR"/>
        </w:rPr>
        <w:t xml:space="preserve">Emissão de </w:t>
      </w:r>
      <w:r w:rsidR="004A4ADC" w:rsidRPr="00B14E90">
        <w:rPr>
          <w:rFonts w:ascii="Arial" w:hAnsi="Arial" w:cs="Arial"/>
          <w:highlight w:val="yellow"/>
        </w:rPr>
        <w:t>R$ </w:t>
      </w:r>
      <w:r w:rsidR="0028667D" w:rsidRPr="00B14E90">
        <w:rPr>
          <w:rFonts w:ascii="Arial" w:hAnsi="Arial" w:cs="Arial"/>
          <w:highlight w:val="yellow"/>
        </w:rPr>
        <w:t>...</w:t>
      </w:r>
      <w:r w:rsidR="004A4ADC" w:rsidRPr="00B14E90">
        <w:rPr>
          <w:rFonts w:ascii="Arial" w:hAnsi="Arial" w:cs="Arial"/>
          <w:highlight w:val="yellow"/>
        </w:rPr>
        <w:t xml:space="preserve"> em </w:t>
      </w:r>
      <w:r w:rsidR="0028667D" w:rsidRPr="00B14E90">
        <w:rPr>
          <w:rFonts w:ascii="Arial" w:eastAsia="Times New Roman" w:hAnsi="Arial" w:cs="Arial"/>
          <w:color w:val="000000"/>
          <w:highlight w:val="yellow"/>
          <w:lang w:eastAsia="pt-BR"/>
        </w:rPr>
        <w:t>..</w:t>
      </w:r>
      <w:r w:rsidR="004A4ADC" w:rsidRPr="00B14E90">
        <w:rPr>
          <w:rFonts w:ascii="Arial" w:hAnsi="Arial" w:cs="Arial"/>
          <w:highlight w:val="yellow"/>
        </w:rPr>
        <w:t xml:space="preserve">. </w:t>
      </w:r>
      <w:r w:rsidR="008E0C40" w:rsidRPr="00B14E90">
        <w:rPr>
          <w:rFonts w:ascii="Arial" w:eastAsia="Times New Roman" w:hAnsi="Arial" w:cs="Arial"/>
          <w:color w:val="000000"/>
          <w:highlight w:val="yellow"/>
          <w:lang w:eastAsia="pt-BR"/>
        </w:rPr>
        <w:t xml:space="preserve"> </w:t>
      </w:r>
    </w:p>
    <w:p w14:paraId="2D2CF619" w14:textId="26784831" w:rsidR="00E41A86" w:rsidRPr="00B14E90" w:rsidRDefault="00E41A86" w:rsidP="00402766">
      <w:pPr>
        <w:pStyle w:val="PargrafodaLista"/>
        <w:numPr>
          <w:ilvl w:val="1"/>
          <w:numId w:val="21"/>
        </w:numPr>
        <w:spacing w:before="120" w:after="0" w:line="240" w:lineRule="auto"/>
        <w:ind w:left="426" w:hanging="426"/>
        <w:contextualSpacing w:val="0"/>
        <w:jc w:val="both"/>
        <w:rPr>
          <w:rFonts w:ascii="Arial" w:eastAsia="Times New Roman" w:hAnsi="Arial" w:cs="Arial"/>
          <w:color w:val="000000"/>
          <w:highlight w:val="yellow"/>
          <w:lang w:eastAsia="pt-BR"/>
        </w:rPr>
      </w:pPr>
      <w:r w:rsidRPr="00B14E90">
        <w:rPr>
          <w:rFonts w:ascii="Arial" w:eastAsia="Times New Roman" w:hAnsi="Arial" w:cs="Arial"/>
          <w:color w:val="000000"/>
          <w:highlight w:val="yellow"/>
          <w:lang w:eastAsia="pt-BR"/>
        </w:rPr>
        <w:t xml:space="preserve">Pagamento </w:t>
      </w:r>
      <w:bookmarkStart w:id="4" w:name="_Hlk36743865"/>
      <w:r w:rsidRPr="00B14E90">
        <w:rPr>
          <w:rFonts w:ascii="Arial" w:eastAsia="Times New Roman" w:hAnsi="Arial" w:cs="Arial"/>
          <w:color w:val="000000"/>
          <w:highlight w:val="yellow"/>
          <w:lang w:eastAsia="pt-BR"/>
        </w:rPr>
        <w:t xml:space="preserve">de </w:t>
      </w:r>
      <w:r w:rsidR="00A93AE8" w:rsidRPr="00B14E90">
        <w:rPr>
          <w:rFonts w:ascii="Arial" w:hAnsi="Arial" w:cs="Arial"/>
          <w:highlight w:val="yellow"/>
        </w:rPr>
        <w:t xml:space="preserve">R$ </w:t>
      </w:r>
      <w:bookmarkEnd w:id="4"/>
      <w:r w:rsidR="0028667D" w:rsidRPr="00B14E90">
        <w:rPr>
          <w:rFonts w:ascii="Arial" w:hAnsi="Arial" w:cs="Arial"/>
          <w:highlight w:val="yellow"/>
        </w:rPr>
        <w:t>...</w:t>
      </w:r>
      <w:r w:rsidR="00A93AE8" w:rsidRPr="00B14E90">
        <w:rPr>
          <w:rFonts w:ascii="Arial" w:hAnsi="Arial" w:cs="Arial"/>
          <w:highlight w:val="yellow"/>
        </w:rPr>
        <w:t xml:space="preserve"> em </w:t>
      </w:r>
      <w:r w:rsidR="0028667D" w:rsidRPr="00B14E90">
        <w:rPr>
          <w:rFonts w:ascii="Arial" w:eastAsia="Times New Roman" w:hAnsi="Arial" w:cs="Arial"/>
          <w:color w:val="000000"/>
          <w:highlight w:val="yellow"/>
          <w:lang w:eastAsia="pt-BR"/>
        </w:rPr>
        <w:t>...</w:t>
      </w:r>
    </w:p>
    <w:p w14:paraId="6F383616" w14:textId="589FBED4" w:rsidR="00E41A86" w:rsidRPr="00B14E90" w:rsidRDefault="00C765AB" w:rsidP="00E41A86">
      <w:pPr>
        <w:pStyle w:val="PargrafodaLista"/>
        <w:numPr>
          <w:ilvl w:val="1"/>
          <w:numId w:val="21"/>
        </w:numPr>
        <w:spacing w:before="120" w:after="0" w:line="240" w:lineRule="auto"/>
        <w:ind w:left="426" w:hanging="426"/>
        <w:contextualSpacing w:val="0"/>
        <w:jc w:val="both"/>
        <w:rPr>
          <w:rFonts w:ascii="Arial" w:eastAsia="Times New Roman" w:hAnsi="Arial" w:cs="Arial"/>
          <w:color w:val="000000"/>
          <w:highlight w:val="yellow"/>
          <w:lang w:eastAsia="pt-BR"/>
        </w:rPr>
      </w:pPr>
      <w:r w:rsidRPr="00B14E90">
        <w:rPr>
          <w:rFonts w:ascii="Arial" w:eastAsia="Times New Roman" w:hAnsi="Arial" w:cs="Arial"/>
          <w:color w:val="000000"/>
          <w:highlight w:val="yellow"/>
          <w:lang w:eastAsia="pt-BR"/>
        </w:rPr>
        <w:t xml:space="preserve">Pagamentos </w:t>
      </w:r>
      <w:r w:rsidR="0028667D" w:rsidRPr="00B14E90">
        <w:rPr>
          <w:rFonts w:ascii="Arial" w:eastAsia="Times New Roman" w:hAnsi="Arial" w:cs="Arial"/>
          <w:color w:val="000000"/>
          <w:highlight w:val="yellow"/>
          <w:lang w:eastAsia="pt-BR"/>
        </w:rPr>
        <w:t>...</w:t>
      </w:r>
      <w:r w:rsidRPr="00B14E90">
        <w:rPr>
          <w:rFonts w:ascii="Arial" w:hAnsi="Arial" w:cs="Arial"/>
          <w:highlight w:val="yellow"/>
        </w:rPr>
        <w:t xml:space="preserve"> resultando em uma exposição monetária estimada de R$ </w:t>
      </w:r>
      <w:r w:rsidR="0028667D" w:rsidRPr="00B14E90">
        <w:rPr>
          <w:rFonts w:ascii="Arial" w:hAnsi="Arial" w:cs="Arial"/>
          <w:highlight w:val="yellow"/>
        </w:rPr>
        <w:t>...</w:t>
      </w:r>
      <w:r w:rsidRPr="00B14E90">
        <w:rPr>
          <w:rFonts w:ascii="Arial" w:hAnsi="Arial" w:cs="Arial"/>
          <w:highlight w:val="yellow"/>
        </w:rPr>
        <w:t xml:space="preserve"> </w:t>
      </w:r>
      <w:r w:rsidR="00873FBC" w:rsidRPr="00B14E90">
        <w:rPr>
          <w:rFonts w:ascii="Arial" w:hAnsi="Arial" w:cs="Arial"/>
          <w:highlight w:val="yellow"/>
        </w:rPr>
        <w:t xml:space="preserve">ao risco de </w:t>
      </w:r>
      <w:r w:rsidRPr="00B14E90">
        <w:rPr>
          <w:rFonts w:ascii="Arial" w:hAnsi="Arial" w:cs="Arial"/>
          <w:highlight w:val="yellow"/>
        </w:rPr>
        <w:t>ocorrência de fraudes e irregularidades.</w:t>
      </w:r>
    </w:p>
    <w:p w14:paraId="7B095D87" w14:textId="77777777" w:rsidR="00E97F75" w:rsidRPr="00B14E90" w:rsidRDefault="00E97F75" w:rsidP="00E97F75">
      <w:pPr>
        <w:pStyle w:val="Ttulo2"/>
        <w:spacing w:before="120" w:line="240" w:lineRule="auto"/>
        <w:jc w:val="both"/>
        <w:rPr>
          <w:rFonts w:ascii="Arial" w:hAnsi="Arial" w:cs="Arial"/>
          <w:b/>
          <w:sz w:val="22"/>
          <w:szCs w:val="22"/>
        </w:rPr>
      </w:pPr>
      <w:bookmarkStart w:id="5" w:name="_Toc33190912"/>
      <w:r w:rsidRPr="00B14E90">
        <w:rPr>
          <w:rFonts w:ascii="Arial" w:hAnsi="Arial" w:cs="Arial"/>
          <w:b/>
          <w:sz w:val="22"/>
          <w:szCs w:val="22"/>
        </w:rPr>
        <w:t>Bases para as opiniões</w:t>
      </w:r>
      <w:bookmarkEnd w:id="5"/>
    </w:p>
    <w:p w14:paraId="31560239" w14:textId="6331FB56" w:rsidR="00E97F75" w:rsidRPr="00B14E90" w:rsidRDefault="00E97F75" w:rsidP="00E97F75">
      <w:pPr>
        <w:spacing w:before="120" w:after="0" w:line="240" w:lineRule="auto"/>
        <w:jc w:val="both"/>
        <w:rPr>
          <w:rFonts w:ascii="Arial" w:hAnsi="Arial" w:cs="Arial"/>
        </w:rPr>
      </w:pPr>
      <w:r w:rsidRPr="00B14E90">
        <w:rPr>
          <w:rFonts w:ascii="Arial" w:hAnsi="Arial" w:cs="Arial"/>
        </w:rPr>
        <w:t>Nossa auditoria foi conduzida de acordo</w:t>
      </w:r>
      <w:r w:rsidR="00E94F4E" w:rsidRPr="00B14E90">
        <w:rPr>
          <w:rFonts w:ascii="Arial" w:hAnsi="Arial" w:cs="Arial"/>
        </w:rPr>
        <w:t xml:space="preserve"> </w:t>
      </w:r>
      <w:r w:rsidRPr="00B14E90">
        <w:rPr>
          <w:rFonts w:ascii="Arial" w:hAnsi="Arial" w:cs="Arial"/>
        </w:rPr>
        <w:t>com as normas brasileiras e internacionais de auditoria aplicáveis ao setor público. Nossas responsabilidades, em conformidade com tais normas, estão descritas na seção intitulada “Responsabilidades do auditor pela auditoria das demonstrações</w:t>
      </w:r>
      <w:r w:rsidR="0028667D" w:rsidRPr="00B14E90">
        <w:rPr>
          <w:rFonts w:ascii="Arial" w:hAnsi="Arial" w:cs="Arial"/>
        </w:rPr>
        <w:t> </w:t>
      </w:r>
      <w:r w:rsidRPr="00B14E90">
        <w:rPr>
          <w:rFonts w:ascii="Arial" w:hAnsi="Arial" w:cs="Arial"/>
        </w:rPr>
        <w:t>contábeis”.</w:t>
      </w:r>
    </w:p>
    <w:p w14:paraId="4BA01A0D" w14:textId="63204CF7" w:rsidR="00E97F75" w:rsidRPr="00B14E90" w:rsidRDefault="00E97F75" w:rsidP="00E97F75">
      <w:pPr>
        <w:spacing w:before="120" w:after="0" w:line="240" w:lineRule="auto"/>
        <w:jc w:val="both"/>
        <w:rPr>
          <w:rFonts w:ascii="Arial" w:hAnsi="Arial" w:cs="Arial"/>
        </w:rPr>
      </w:pPr>
      <w:r w:rsidRPr="00B14E90">
        <w:rPr>
          <w:rFonts w:ascii="Arial" w:hAnsi="Arial" w:cs="Arial"/>
        </w:rPr>
        <w:t xml:space="preserve">Somos independentes em relação ao </w:t>
      </w:r>
      <w:r w:rsidR="0028667D" w:rsidRPr="00B14E90">
        <w:rPr>
          <w:rFonts w:ascii="Arial" w:hAnsi="Arial" w:cs="Arial"/>
        </w:rPr>
        <w:t>[órgão /entidade]</w:t>
      </w:r>
      <w:r w:rsidRPr="00B14E90">
        <w:rPr>
          <w:rFonts w:ascii="Arial" w:hAnsi="Arial" w:cs="Arial"/>
        </w:rPr>
        <w:t>, de acordo com os princípios éticos relevantes previstos nas Normas Internacionais das Entidades Fiscalizadoras Superiores (ISSAI)</w:t>
      </w:r>
      <w:r w:rsidR="00E94F4E" w:rsidRPr="00B14E90">
        <w:rPr>
          <w:rFonts w:ascii="Arial" w:hAnsi="Arial" w:cs="Arial"/>
        </w:rPr>
        <w:t>,</w:t>
      </w:r>
      <w:r w:rsidRPr="00B14E90">
        <w:rPr>
          <w:rFonts w:ascii="Arial" w:hAnsi="Arial" w:cs="Arial"/>
        </w:rPr>
        <w:t xml:space="preserve"> nas normas profissionais emitidas pelo Conselho Federal de Contabilidade</w:t>
      </w:r>
      <w:r w:rsidR="00E94F4E" w:rsidRPr="00B14E90">
        <w:rPr>
          <w:rFonts w:ascii="Arial" w:hAnsi="Arial" w:cs="Arial"/>
        </w:rPr>
        <w:t xml:space="preserve"> e no Código de Ética dos servidores do TCU, </w:t>
      </w:r>
      <w:r w:rsidRPr="00B14E90">
        <w:rPr>
          <w:rFonts w:ascii="Arial" w:hAnsi="Arial" w:cs="Arial"/>
        </w:rPr>
        <w:t xml:space="preserve">e cumprimos com as demais responsabilidades éticas de acordo com essas normas. Acreditamos que a evidência de auditoria obtida é suficiente e apropriada para fundamentar nossa opinião </w:t>
      </w:r>
      <w:r w:rsidR="0028667D" w:rsidRPr="00B14E90">
        <w:rPr>
          <w:rFonts w:ascii="Arial" w:hAnsi="Arial" w:cs="Arial"/>
        </w:rPr>
        <w:t>[tipo de opinião]</w:t>
      </w:r>
      <w:r w:rsidRPr="00B14E90">
        <w:rPr>
          <w:rFonts w:ascii="Arial" w:hAnsi="Arial" w:cs="Arial"/>
        </w:rPr>
        <w:t xml:space="preserve"> para as demonstrações </w:t>
      </w:r>
      <w:r w:rsidR="00D92177" w:rsidRPr="00B14E90">
        <w:rPr>
          <w:rFonts w:ascii="Arial" w:hAnsi="Arial" w:cs="Arial"/>
        </w:rPr>
        <w:t xml:space="preserve">contábeis </w:t>
      </w:r>
      <w:r w:rsidRPr="00B14E90">
        <w:rPr>
          <w:rFonts w:ascii="Arial" w:hAnsi="Arial" w:cs="Arial"/>
        </w:rPr>
        <w:t xml:space="preserve">acima referidas e nossa opinião </w:t>
      </w:r>
      <w:r w:rsidR="0028667D" w:rsidRPr="00B14E90">
        <w:rPr>
          <w:rFonts w:ascii="Arial" w:hAnsi="Arial" w:cs="Arial"/>
        </w:rPr>
        <w:t>[tipo de opinião]</w:t>
      </w:r>
      <w:r w:rsidRPr="00B14E90">
        <w:rPr>
          <w:rFonts w:ascii="Arial" w:hAnsi="Arial" w:cs="Arial"/>
        </w:rPr>
        <w:t xml:space="preserve"> sobre a </w:t>
      </w:r>
      <w:r w:rsidR="00E94F4E" w:rsidRPr="00B14E90">
        <w:rPr>
          <w:rFonts w:ascii="Arial" w:hAnsi="Arial" w:cs="Arial"/>
        </w:rPr>
        <w:t>conformidade</w:t>
      </w:r>
      <w:r w:rsidRPr="00B14E90">
        <w:rPr>
          <w:rFonts w:ascii="Arial" w:hAnsi="Arial" w:cs="Arial"/>
        </w:rPr>
        <w:t xml:space="preserve"> das transações subjacentes.</w:t>
      </w:r>
      <w:bookmarkStart w:id="6" w:name="_GoBack"/>
      <w:bookmarkEnd w:id="6"/>
    </w:p>
    <w:p w14:paraId="1D59E9F4" w14:textId="77777777" w:rsidR="009B3CAD" w:rsidRPr="00B14E90" w:rsidRDefault="009B3CAD" w:rsidP="00695C00">
      <w:pPr>
        <w:rPr>
          <w:rFonts w:ascii="Arial" w:hAnsi="Arial" w:cs="Arial"/>
        </w:rPr>
      </w:pPr>
    </w:p>
    <w:sectPr w:rsidR="009B3CAD" w:rsidRPr="00B14E90" w:rsidSect="00833CB4">
      <w:headerReference w:type="default" r:id="rId11"/>
      <w:pgSz w:w="11906" w:h="16838" w:code="9"/>
      <w:pgMar w:top="1871" w:right="851" w:bottom="765" w:left="1418" w:header="851" w:footer="6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CD547F" w14:textId="77777777" w:rsidR="00424FC8" w:rsidRDefault="00424FC8" w:rsidP="00EB6D01">
      <w:pPr>
        <w:spacing w:after="0" w:line="240" w:lineRule="auto"/>
      </w:pPr>
      <w:r>
        <w:separator/>
      </w:r>
    </w:p>
  </w:endnote>
  <w:endnote w:type="continuationSeparator" w:id="0">
    <w:p w14:paraId="09A4ADCD" w14:textId="77777777" w:rsidR="00424FC8" w:rsidRDefault="00424FC8" w:rsidP="00EB6D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71D67C" w14:textId="77777777" w:rsidR="00424FC8" w:rsidRDefault="00424FC8" w:rsidP="00EB6D01">
      <w:pPr>
        <w:spacing w:after="0" w:line="240" w:lineRule="auto"/>
      </w:pPr>
      <w:r>
        <w:separator/>
      </w:r>
    </w:p>
  </w:footnote>
  <w:footnote w:type="continuationSeparator" w:id="0">
    <w:p w14:paraId="6BFBD33A" w14:textId="77777777" w:rsidR="00424FC8" w:rsidRDefault="00424FC8" w:rsidP="00EB6D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140111" w14:textId="2F2FC76C" w:rsidR="00A35C1F" w:rsidRPr="00303526" w:rsidRDefault="00A35C1F" w:rsidP="00EB6D01">
    <w:pPr>
      <w:pStyle w:val="Cabealho"/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F2CA5D9" wp14:editId="5702557F">
              <wp:simplePos x="0" y="0"/>
              <wp:positionH relativeFrom="column">
                <wp:posOffset>5876290</wp:posOffset>
              </wp:positionH>
              <wp:positionV relativeFrom="paragraph">
                <wp:posOffset>417195</wp:posOffset>
              </wp:positionV>
              <wp:extent cx="371475" cy="285750"/>
              <wp:effectExtent l="0" t="0" r="9525" b="0"/>
              <wp:wrapNone/>
              <wp:docPr id="2" name="Caixa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1475" cy="2857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70E8FEC" w14:textId="2468F9A9" w:rsidR="00A35C1F" w:rsidRPr="005F066A" w:rsidRDefault="00A35C1F" w:rsidP="005F066A">
                          <w:pPr>
                            <w:jc w:val="right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 w:rsidRPr="005F066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F066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F066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E70588">
                            <w:rPr>
                              <w:rFonts w:ascii="Times New Roman" w:hAnsi="Times New Roman" w:cs="Times New Roman"/>
                              <w:noProof/>
                              <w:sz w:val="24"/>
                              <w:szCs w:val="24"/>
                            </w:rPr>
                            <w:t>1</w:t>
                          </w:r>
                          <w:r w:rsidRPr="005F066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5F2CA5D9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margin-left:462.7pt;margin-top:32.85pt;width:29.25pt;height:22.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" fillcolor="white [3201]" stroked="f" strokeweight=".5pt">
              <v:textbox>
                <w:txbxContent>
                  <w:p w14:paraId="770E8FEC" w14:textId="2468F9A9" w:rsidR="00A35C1F" w:rsidRPr="005F066A" w:rsidRDefault="00A35C1F" w:rsidP="005F066A">
                    <w:pPr>
                      <w:jc w:val="right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5F066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 w:rsidRPr="005F066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>PAGE   \* MERGEFORMAT</w:instrText>
                    </w:r>
                    <w:r w:rsidRPr="005F066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 w:rsidR="00E70588">
                      <w:rPr>
                        <w:rFonts w:ascii="Times New Roman" w:hAnsi="Times New Roman" w:cs="Times New Roman"/>
                        <w:noProof/>
                        <w:sz w:val="24"/>
                        <w:szCs w:val="24"/>
                      </w:rPr>
                      <w:t>1</w:t>
                    </w:r>
                    <w:r w:rsidRPr="005F066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57025A" w:rsidRPr="001B02EC">
      <w:rPr>
        <w:noProof/>
      </w:rPr>
      <w:drawing>
        <wp:inline distT="0" distB="0" distL="0" distR="0" wp14:anchorId="54C3F8B6" wp14:editId="289A95FA">
          <wp:extent cx="5514975" cy="962025"/>
          <wp:effectExtent l="0" t="0" r="9525" b="9525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14975" cy="962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93A2A"/>
    <w:multiLevelType w:val="hybridMultilevel"/>
    <w:tmpl w:val="5A48FE26"/>
    <w:lvl w:ilvl="0" w:tplc="0416000F">
      <w:start w:val="1"/>
      <w:numFmt w:val="decimal"/>
      <w:lvlText w:val="%1."/>
      <w:lvlJc w:val="left"/>
      <w:pPr>
        <w:ind w:left="1131" w:hanging="360"/>
      </w:pPr>
    </w:lvl>
    <w:lvl w:ilvl="1" w:tplc="04160019" w:tentative="1">
      <w:start w:val="1"/>
      <w:numFmt w:val="lowerLetter"/>
      <w:lvlText w:val="%2."/>
      <w:lvlJc w:val="left"/>
      <w:pPr>
        <w:ind w:left="1851" w:hanging="360"/>
      </w:pPr>
    </w:lvl>
    <w:lvl w:ilvl="2" w:tplc="0416001B" w:tentative="1">
      <w:start w:val="1"/>
      <w:numFmt w:val="lowerRoman"/>
      <w:lvlText w:val="%3."/>
      <w:lvlJc w:val="right"/>
      <w:pPr>
        <w:ind w:left="2571" w:hanging="180"/>
      </w:pPr>
    </w:lvl>
    <w:lvl w:ilvl="3" w:tplc="0416000F" w:tentative="1">
      <w:start w:val="1"/>
      <w:numFmt w:val="decimal"/>
      <w:lvlText w:val="%4."/>
      <w:lvlJc w:val="left"/>
      <w:pPr>
        <w:ind w:left="3291" w:hanging="360"/>
      </w:pPr>
    </w:lvl>
    <w:lvl w:ilvl="4" w:tplc="04160019" w:tentative="1">
      <w:start w:val="1"/>
      <w:numFmt w:val="lowerLetter"/>
      <w:lvlText w:val="%5."/>
      <w:lvlJc w:val="left"/>
      <w:pPr>
        <w:ind w:left="4011" w:hanging="360"/>
      </w:pPr>
    </w:lvl>
    <w:lvl w:ilvl="5" w:tplc="0416001B" w:tentative="1">
      <w:start w:val="1"/>
      <w:numFmt w:val="lowerRoman"/>
      <w:lvlText w:val="%6."/>
      <w:lvlJc w:val="right"/>
      <w:pPr>
        <w:ind w:left="4731" w:hanging="180"/>
      </w:pPr>
    </w:lvl>
    <w:lvl w:ilvl="6" w:tplc="0416000F" w:tentative="1">
      <w:start w:val="1"/>
      <w:numFmt w:val="decimal"/>
      <w:lvlText w:val="%7."/>
      <w:lvlJc w:val="left"/>
      <w:pPr>
        <w:ind w:left="5451" w:hanging="360"/>
      </w:pPr>
    </w:lvl>
    <w:lvl w:ilvl="7" w:tplc="04160019" w:tentative="1">
      <w:start w:val="1"/>
      <w:numFmt w:val="lowerLetter"/>
      <w:lvlText w:val="%8."/>
      <w:lvlJc w:val="left"/>
      <w:pPr>
        <w:ind w:left="6171" w:hanging="360"/>
      </w:pPr>
    </w:lvl>
    <w:lvl w:ilvl="8" w:tplc="0416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1" w15:restartNumberingAfterBreak="0">
    <w:nsid w:val="047249D1"/>
    <w:multiLevelType w:val="multilevel"/>
    <w:tmpl w:val="2A8821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8EC743E"/>
    <w:multiLevelType w:val="hybridMultilevel"/>
    <w:tmpl w:val="F440CC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77141E"/>
    <w:multiLevelType w:val="multilevel"/>
    <w:tmpl w:val="AB601700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7F95A5A"/>
    <w:multiLevelType w:val="hybridMultilevel"/>
    <w:tmpl w:val="A97EC02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F86F9E"/>
    <w:multiLevelType w:val="multilevel"/>
    <w:tmpl w:val="839EBAFE"/>
    <w:lvl w:ilvl="0">
      <w:start w:val="1"/>
      <w:numFmt w:val="decimal"/>
      <w:lvlText w:val="%1"/>
      <w:lvlJc w:val="left"/>
      <w:pPr>
        <w:ind w:left="360" w:hanging="360"/>
      </w:pPr>
      <w:rPr>
        <w:rFonts w:eastAsiaTheme="majorEastAsia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ajorEastAsia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ajorEastAsia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ajorEastAsia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ajorEastAsia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ajorEastAsia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ajorEastAsia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ajorEastAsia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ajorEastAsia" w:hint="default"/>
      </w:rPr>
    </w:lvl>
  </w:abstractNum>
  <w:abstractNum w:abstractNumId="6" w15:restartNumberingAfterBreak="0">
    <w:nsid w:val="1E2519A2"/>
    <w:multiLevelType w:val="multilevel"/>
    <w:tmpl w:val="42DECC1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ajorEastAsia" w:hAnsi="Times New Roman" w:cs="Times New Roman"/>
      </w:rPr>
    </w:lvl>
    <w:lvl w:ilvl="1">
      <w:start w:val="1"/>
      <w:numFmt w:val="decimal"/>
      <w:isLgl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FDC6739"/>
    <w:multiLevelType w:val="hybridMultilevel"/>
    <w:tmpl w:val="6B285D58"/>
    <w:lvl w:ilvl="0" w:tplc="9676C47C">
      <w:start w:val="43"/>
      <w:numFmt w:val="decimal"/>
      <w:lvlText w:val="%1."/>
      <w:lvlJc w:val="left"/>
      <w:pPr>
        <w:ind w:left="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9BAC5C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99687A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7B4688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750AD1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EE0904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90690F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C4943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7875F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5E0346F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BA516F0"/>
    <w:multiLevelType w:val="hybridMultilevel"/>
    <w:tmpl w:val="356CE0D4"/>
    <w:lvl w:ilvl="0" w:tplc="C6CAA5FE">
      <w:start w:val="27"/>
      <w:numFmt w:val="decimal"/>
      <w:lvlText w:val="%1."/>
      <w:lvlJc w:val="left"/>
      <w:pPr>
        <w:ind w:left="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764C0F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26190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3CF61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08DB9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2C48F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B661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D2D12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28DF7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42B0636"/>
    <w:multiLevelType w:val="hybridMultilevel"/>
    <w:tmpl w:val="7D6C0A70"/>
    <w:lvl w:ilvl="0" w:tplc="8F96F03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5AA7030"/>
    <w:multiLevelType w:val="multilevel"/>
    <w:tmpl w:val="47CE284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E3D73A2"/>
    <w:multiLevelType w:val="multilevel"/>
    <w:tmpl w:val="AD38E2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1C43C5E"/>
    <w:multiLevelType w:val="hybridMultilevel"/>
    <w:tmpl w:val="4F2A5C98"/>
    <w:lvl w:ilvl="0" w:tplc="0416000F">
      <w:start w:val="1"/>
      <w:numFmt w:val="decimal"/>
      <w:lvlText w:val="%1."/>
      <w:lvlJc w:val="left"/>
      <w:pPr>
        <w:ind w:left="1131" w:hanging="360"/>
      </w:pPr>
    </w:lvl>
    <w:lvl w:ilvl="1" w:tplc="04160019" w:tentative="1">
      <w:start w:val="1"/>
      <w:numFmt w:val="lowerLetter"/>
      <w:lvlText w:val="%2."/>
      <w:lvlJc w:val="left"/>
      <w:pPr>
        <w:ind w:left="1851" w:hanging="360"/>
      </w:pPr>
    </w:lvl>
    <w:lvl w:ilvl="2" w:tplc="0416001B" w:tentative="1">
      <w:start w:val="1"/>
      <w:numFmt w:val="lowerRoman"/>
      <w:lvlText w:val="%3."/>
      <w:lvlJc w:val="right"/>
      <w:pPr>
        <w:ind w:left="2571" w:hanging="180"/>
      </w:pPr>
    </w:lvl>
    <w:lvl w:ilvl="3" w:tplc="0416000F" w:tentative="1">
      <w:start w:val="1"/>
      <w:numFmt w:val="decimal"/>
      <w:lvlText w:val="%4."/>
      <w:lvlJc w:val="left"/>
      <w:pPr>
        <w:ind w:left="3291" w:hanging="360"/>
      </w:pPr>
    </w:lvl>
    <w:lvl w:ilvl="4" w:tplc="04160019" w:tentative="1">
      <w:start w:val="1"/>
      <w:numFmt w:val="lowerLetter"/>
      <w:lvlText w:val="%5."/>
      <w:lvlJc w:val="left"/>
      <w:pPr>
        <w:ind w:left="4011" w:hanging="360"/>
      </w:pPr>
    </w:lvl>
    <w:lvl w:ilvl="5" w:tplc="0416001B" w:tentative="1">
      <w:start w:val="1"/>
      <w:numFmt w:val="lowerRoman"/>
      <w:lvlText w:val="%6."/>
      <w:lvlJc w:val="right"/>
      <w:pPr>
        <w:ind w:left="4731" w:hanging="180"/>
      </w:pPr>
    </w:lvl>
    <w:lvl w:ilvl="6" w:tplc="0416000F" w:tentative="1">
      <w:start w:val="1"/>
      <w:numFmt w:val="decimal"/>
      <w:lvlText w:val="%7."/>
      <w:lvlJc w:val="left"/>
      <w:pPr>
        <w:ind w:left="5451" w:hanging="360"/>
      </w:pPr>
    </w:lvl>
    <w:lvl w:ilvl="7" w:tplc="04160019" w:tentative="1">
      <w:start w:val="1"/>
      <w:numFmt w:val="lowerLetter"/>
      <w:lvlText w:val="%8."/>
      <w:lvlJc w:val="left"/>
      <w:pPr>
        <w:ind w:left="6171" w:hanging="360"/>
      </w:pPr>
    </w:lvl>
    <w:lvl w:ilvl="8" w:tplc="0416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14" w15:restartNumberingAfterBreak="0">
    <w:nsid w:val="5DA42AE7"/>
    <w:multiLevelType w:val="hybridMultilevel"/>
    <w:tmpl w:val="2F6E1DAA"/>
    <w:lvl w:ilvl="0" w:tplc="7D882B18">
      <w:start w:val="2010"/>
      <w:numFmt w:val="decimal"/>
      <w:lvlText w:val="%1"/>
      <w:lvlJc w:val="left"/>
      <w:pPr>
        <w:ind w:left="8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9BAF68A">
      <w:start w:val="1"/>
      <w:numFmt w:val="lowerLetter"/>
      <w:lvlText w:val="%2"/>
      <w:lvlJc w:val="left"/>
      <w:pPr>
        <w:ind w:left="2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39AE238">
      <w:start w:val="1"/>
      <w:numFmt w:val="lowerRoman"/>
      <w:lvlText w:val="%3"/>
      <w:lvlJc w:val="left"/>
      <w:pPr>
        <w:ind w:left="31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56E7AA0">
      <w:start w:val="1"/>
      <w:numFmt w:val="decimal"/>
      <w:lvlText w:val="%4"/>
      <w:lvlJc w:val="left"/>
      <w:pPr>
        <w:ind w:left="38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922CB4C">
      <w:start w:val="1"/>
      <w:numFmt w:val="lowerLetter"/>
      <w:lvlText w:val="%5"/>
      <w:lvlJc w:val="left"/>
      <w:pPr>
        <w:ind w:left="4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E640D96">
      <w:start w:val="1"/>
      <w:numFmt w:val="lowerRoman"/>
      <w:lvlText w:val="%6"/>
      <w:lvlJc w:val="left"/>
      <w:pPr>
        <w:ind w:left="5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F4CC67E">
      <w:start w:val="1"/>
      <w:numFmt w:val="decimal"/>
      <w:lvlText w:val="%7"/>
      <w:lvlJc w:val="left"/>
      <w:pPr>
        <w:ind w:left="6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EB227A6">
      <w:start w:val="1"/>
      <w:numFmt w:val="lowerLetter"/>
      <w:lvlText w:val="%8"/>
      <w:lvlJc w:val="left"/>
      <w:pPr>
        <w:ind w:left="6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A62A652">
      <w:start w:val="1"/>
      <w:numFmt w:val="lowerRoman"/>
      <w:lvlText w:val="%9"/>
      <w:lvlJc w:val="left"/>
      <w:pPr>
        <w:ind w:left="7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3B3217C"/>
    <w:multiLevelType w:val="hybridMultilevel"/>
    <w:tmpl w:val="152EE98E"/>
    <w:lvl w:ilvl="0" w:tplc="33489956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 w15:restartNumberingAfterBreak="0">
    <w:nsid w:val="6CC04969"/>
    <w:multiLevelType w:val="multilevel"/>
    <w:tmpl w:val="2056C57C"/>
    <w:lvl w:ilvl="0">
      <w:start w:val="1"/>
      <w:numFmt w:val="decimal"/>
      <w:lvlText w:val="%1."/>
      <w:lvlJc w:val="left"/>
      <w:pPr>
        <w:ind w:left="540" w:hanging="540"/>
      </w:pPr>
      <w:rPr>
        <w:rFonts w:eastAsia="Times New Roman" w:hint="default"/>
      </w:rPr>
    </w:lvl>
    <w:lvl w:ilvl="1">
      <w:start w:val="5"/>
      <w:numFmt w:val="decimal"/>
      <w:lvlText w:val="%1.%2."/>
      <w:lvlJc w:val="left"/>
      <w:pPr>
        <w:ind w:left="540" w:hanging="54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17" w15:restartNumberingAfterBreak="0">
    <w:nsid w:val="767C3368"/>
    <w:multiLevelType w:val="multilevel"/>
    <w:tmpl w:val="B3566BD8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7900FB2"/>
    <w:multiLevelType w:val="multilevel"/>
    <w:tmpl w:val="A0E05E4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19" w15:restartNumberingAfterBreak="0">
    <w:nsid w:val="78DA1899"/>
    <w:multiLevelType w:val="hybridMultilevel"/>
    <w:tmpl w:val="C9ECE096"/>
    <w:lvl w:ilvl="0" w:tplc="04160011">
      <w:start w:val="1"/>
      <w:numFmt w:val="decimal"/>
      <w:lvlText w:val="%1)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AAE45DD"/>
    <w:multiLevelType w:val="multilevel"/>
    <w:tmpl w:val="06CABD8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C1055B7"/>
    <w:multiLevelType w:val="multilevel"/>
    <w:tmpl w:val="30B4EE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E9A37F8"/>
    <w:multiLevelType w:val="hybridMultilevel"/>
    <w:tmpl w:val="564626E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4"/>
  </w:num>
  <w:num w:numId="3">
    <w:abstractNumId w:val="7"/>
  </w:num>
  <w:num w:numId="4">
    <w:abstractNumId w:val="13"/>
  </w:num>
  <w:num w:numId="5">
    <w:abstractNumId w:val="0"/>
  </w:num>
  <w:num w:numId="6">
    <w:abstractNumId w:val="11"/>
  </w:num>
  <w:num w:numId="7">
    <w:abstractNumId w:val="2"/>
  </w:num>
  <w:num w:numId="8">
    <w:abstractNumId w:val="22"/>
  </w:num>
  <w:num w:numId="9">
    <w:abstractNumId w:val="15"/>
  </w:num>
  <w:num w:numId="10">
    <w:abstractNumId w:val="4"/>
  </w:num>
  <w:num w:numId="11">
    <w:abstractNumId w:val="6"/>
  </w:num>
  <w:num w:numId="12">
    <w:abstractNumId w:val="8"/>
  </w:num>
  <w:num w:numId="13">
    <w:abstractNumId w:val="21"/>
  </w:num>
  <w:num w:numId="14">
    <w:abstractNumId w:val="20"/>
  </w:num>
  <w:num w:numId="15">
    <w:abstractNumId w:val="12"/>
  </w:num>
  <w:num w:numId="16">
    <w:abstractNumId w:val="5"/>
  </w:num>
  <w:num w:numId="17">
    <w:abstractNumId w:val="16"/>
  </w:num>
  <w:num w:numId="18">
    <w:abstractNumId w:val="18"/>
  </w:num>
  <w:num w:numId="19">
    <w:abstractNumId w:val="19"/>
  </w:num>
  <w:num w:numId="20">
    <w:abstractNumId w:val="10"/>
  </w:num>
  <w:num w:numId="21">
    <w:abstractNumId w:val="3"/>
  </w:num>
  <w:num w:numId="22">
    <w:abstractNumId w:val="1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pt-BR" w:vendorID="64" w:dllVersion="6" w:nlCheck="1" w:checkStyle="0"/>
  <w:activeWritingStyle w:appName="MSWord" w:lang="en-US" w:vendorID="64" w:dllVersion="6" w:nlCheck="1" w:checkStyle="1"/>
  <w:activeWritingStyle w:appName="MSWord" w:lang="pt-BR" w:vendorID="64" w:dllVersion="0" w:nlCheck="1" w:checkStyle="0"/>
  <w:activeWritingStyle w:appName="MSWord" w:lang="en-US" w:vendorID="64" w:dllVersion="0" w:nlCheck="1" w:checkStyle="0"/>
  <w:proofState w:spelling="clean" w:grammar="clean"/>
  <w:trackRevisions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6D01"/>
    <w:rsid w:val="00000B1C"/>
    <w:rsid w:val="00000C58"/>
    <w:rsid w:val="00005A18"/>
    <w:rsid w:val="00006986"/>
    <w:rsid w:val="00011694"/>
    <w:rsid w:val="000116F6"/>
    <w:rsid w:val="000137C6"/>
    <w:rsid w:val="00015EAD"/>
    <w:rsid w:val="000167CB"/>
    <w:rsid w:val="0002380C"/>
    <w:rsid w:val="00032437"/>
    <w:rsid w:val="000349B2"/>
    <w:rsid w:val="00035AAE"/>
    <w:rsid w:val="0003679F"/>
    <w:rsid w:val="000402E0"/>
    <w:rsid w:val="0004126C"/>
    <w:rsid w:val="00044982"/>
    <w:rsid w:val="00044C98"/>
    <w:rsid w:val="000511D1"/>
    <w:rsid w:val="00051BD9"/>
    <w:rsid w:val="0005352D"/>
    <w:rsid w:val="000539E8"/>
    <w:rsid w:val="00054798"/>
    <w:rsid w:val="000550D5"/>
    <w:rsid w:val="000565FB"/>
    <w:rsid w:val="000573E4"/>
    <w:rsid w:val="00060865"/>
    <w:rsid w:val="00064D52"/>
    <w:rsid w:val="000656F0"/>
    <w:rsid w:val="000707FA"/>
    <w:rsid w:val="000759EA"/>
    <w:rsid w:val="00096B68"/>
    <w:rsid w:val="000A197E"/>
    <w:rsid w:val="000B624C"/>
    <w:rsid w:val="000B78DA"/>
    <w:rsid w:val="000C072D"/>
    <w:rsid w:val="000C2E83"/>
    <w:rsid w:val="000C3476"/>
    <w:rsid w:val="000C3635"/>
    <w:rsid w:val="000C6B4B"/>
    <w:rsid w:val="000D10DC"/>
    <w:rsid w:val="000E1DD9"/>
    <w:rsid w:val="000E28B6"/>
    <w:rsid w:val="000E6BA4"/>
    <w:rsid w:val="000E75C8"/>
    <w:rsid w:val="000E7FCA"/>
    <w:rsid w:val="000F5DB8"/>
    <w:rsid w:val="0010421F"/>
    <w:rsid w:val="00105291"/>
    <w:rsid w:val="001056A3"/>
    <w:rsid w:val="00106E8F"/>
    <w:rsid w:val="00107A89"/>
    <w:rsid w:val="00113039"/>
    <w:rsid w:val="001220CF"/>
    <w:rsid w:val="00122930"/>
    <w:rsid w:val="0012594D"/>
    <w:rsid w:val="00126525"/>
    <w:rsid w:val="0013401D"/>
    <w:rsid w:val="00134CDD"/>
    <w:rsid w:val="001408CD"/>
    <w:rsid w:val="00141532"/>
    <w:rsid w:val="00146E6C"/>
    <w:rsid w:val="00150662"/>
    <w:rsid w:val="00163246"/>
    <w:rsid w:val="00165701"/>
    <w:rsid w:val="00170527"/>
    <w:rsid w:val="00172BB0"/>
    <w:rsid w:val="00175FAE"/>
    <w:rsid w:val="001846AC"/>
    <w:rsid w:val="001A2677"/>
    <w:rsid w:val="001B0152"/>
    <w:rsid w:val="001B1164"/>
    <w:rsid w:val="001B5469"/>
    <w:rsid w:val="001C128F"/>
    <w:rsid w:val="001C159E"/>
    <w:rsid w:val="001C4885"/>
    <w:rsid w:val="001E45B2"/>
    <w:rsid w:val="001F061D"/>
    <w:rsid w:val="00203270"/>
    <w:rsid w:val="00203422"/>
    <w:rsid w:val="00204438"/>
    <w:rsid w:val="00215DC7"/>
    <w:rsid w:val="002260ED"/>
    <w:rsid w:val="00232811"/>
    <w:rsid w:val="0023580F"/>
    <w:rsid w:val="00240865"/>
    <w:rsid w:val="00241985"/>
    <w:rsid w:val="00242890"/>
    <w:rsid w:val="00263F1F"/>
    <w:rsid w:val="00264E9E"/>
    <w:rsid w:val="00275D7E"/>
    <w:rsid w:val="00276B22"/>
    <w:rsid w:val="0028028B"/>
    <w:rsid w:val="00280A26"/>
    <w:rsid w:val="0028667D"/>
    <w:rsid w:val="00287C75"/>
    <w:rsid w:val="002906F5"/>
    <w:rsid w:val="00290DD0"/>
    <w:rsid w:val="0029253C"/>
    <w:rsid w:val="00295845"/>
    <w:rsid w:val="002974D4"/>
    <w:rsid w:val="002A3AB8"/>
    <w:rsid w:val="002A5947"/>
    <w:rsid w:val="002B3FC2"/>
    <w:rsid w:val="002B53F7"/>
    <w:rsid w:val="002B694F"/>
    <w:rsid w:val="002D0ECC"/>
    <w:rsid w:val="002D4872"/>
    <w:rsid w:val="002D4A3C"/>
    <w:rsid w:val="002D561B"/>
    <w:rsid w:val="00301C37"/>
    <w:rsid w:val="00322F36"/>
    <w:rsid w:val="00325834"/>
    <w:rsid w:val="00325FFB"/>
    <w:rsid w:val="00330279"/>
    <w:rsid w:val="0033429C"/>
    <w:rsid w:val="00342DAF"/>
    <w:rsid w:val="00343A0E"/>
    <w:rsid w:val="00381BFB"/>
    <w:rsid w:val="00382DCA"/>
    <w:rsid w:val="003905A5"/>
    <w:rsid w:val="00392204"/>
    <w:rsid w:val="003926A8"/>
    <w:rsid w:val="003932DD"/>
    <w:rsid w:val="00393574"/>
    <w:rsid w:val="003950B7"/>
    <w:rsid w:val="00395BDF"/>
    <w:rsid w:val="00396A77"/>
    <w:rsid w:val="003A79E4"/>
    <w:rsid w:val="003B749F"/>
    <w:rsid w:val="003C063D"/>
    <w:rsid w:val="003C1BF7"/>
    <w:rsid w:val="003C3867"/>
    <w:rsid w:val="003C6151"/>
    <w:rsid w:val="003C6F80"/>
    <w:rsid w:val="003D5195"/>
    <w:rsid w:val="003D5EB6"/>
    <w:rsid w:val="003E0136"/>
    <w:rsid w:val="003E098F"/>
    <w:rsid w:val="003E0D60"/>
    <w:rsid w:val="003E12E1"/>
    <w:rsid w:val="003F37C9"/>
    <w:rsid w:val="003F4C4C"/>
    <w:rsid w:val="004007CF"/>
    <w:rsid w:val="00402766"/>
    <w:rsid w:val="004075B6"/>
    <w:rsid w:val="00410638"/>
    <w:rsid w:val="00411189"/>
    <w:rsid w:val="00416AED"/>
    <w:rsid w:val="00424FC8"/>
    <w:rsid w:val="0042573E"/>
    <w:rsid w:val="00426923"/>
    <w:rsid w:val="00427F5D"/>
    <w:rsid w:val="00434951"/>
    <w:rsid w:val="00437B25"/>
    <w:rsid w:val="00447865"/>
    <w:rsid w:val="00475EBA"/>
    <w:rsid w:val="00477430"/>
    <w:rsid w:val="00477AE2"/>
    <w:rsid w:val="004815E7"/>
    <w:rsid w:val="00487CEB"/>
    <w:rsid w:val="00490BC2"/>
    <w:rsid w:val="004949AA"/>
    <w:rsid w:val="004A0074"/>
    <w:rsid w:val="004A1ED8"/>
    <w:rsid w:val="004A32B3"/>
    <w:rsid w:val="004A4ADC"/>
    <w:rsid w:val="004A7397"/>
    <w:rsid w:val="004B25D4"/>
    <w:rsid w:val="004C08DF"/>
    <w:rsid w:val="004D1754"/>
    <w:rsid w:val="004D1B04"/>
    <w:rsid w:val="004D45E5"/>
    <w:rsid w:val="004D569E"/>
    <w:rsid w:val="004D6C77"/>
    <w:rsid w:val="004D6FCF"/>
    <w:rsid w:val="004D7AB1"/>
    <w:rsid w:val="004E20CC"/>
    <w:rsid w:val="004E37F3"/>
    <w:rsid w:val="004E695A"/>
    <w:rsid w:val="004E76EC"/>
    <w:rsid w:val="004F3570"/>
    <w:rsid w:val="004F35D7"/>
    <w:rsid w:val="00502E7C"/>
    <w:rsid w:val="00506632"/>
    <w:rsid w:val="00506B4E"/>
    <w:rsid w:val="00507DF9"/>
    <w:rsid w:val="00532EAC"/>
    <w:rsid w:val="00532F33"/>
    <w:rsid w:val="00534207"/>
    <w:rsid w:val="0054128A"/>
    <w:rsid w:val="005473A1"/>
    <w:rsid w:val="00553200"/>
    <w:rsid w:val="005534CE"/>
    <w:rsid w:val="00557220"/>
    <w:rsid w:val="00566F90"/>
    <w:rsid w:val="0057025A"/>
    <w:rsid w:val="0057260F"/>
    <w:rsid w:val="00572BB2"/>
    <w:rsid w:val="00572E8C"/>
    <w:rsid w:val="00580482"/>
    <w:rsid w:val="005817A2"/>
    <w:rsid w:val="00581F03"/>
    <w:rsid w:val="005822CB"/>
    <w:rsid w:val="00586013"/>
    <w:rsid w:val="005922D2"/>
    <w:rsid w:val="00596E69"/>
    <w:rsid w:val="00596E84"/>
    <w:rsid w:val="00597B53"/>
    <w:rsid w:val="005D4FA9"/>
    <w:rsid w:val="005E08B0"/>
    <w:rsid w:val="005E0D8E"/>
    <w:rsid w:val="005F066A"/>
    <w:rsid w:val="005F5EAA"/>
    <w:rsid w:val="00600D0A"/>
    <w:rsid w:val="00601929"/>
    <w:rsid w:val="0060510D"/>
    <w:rsid w:val="00611101"/>
    <w:rsid w:val="0061680E"/>
    <w:rsid w:val="00620008"/>
    <w:rsid w:val="00626AC1"/>
    <w:rsid w:val="006368B6"/>
    <w:rsid w:val="00640673"/>
    <w:rsid w:val="00641118"/>
    <w:rsid w:val="006507B3"/>
    <w:rsid w:val="00657F70"/>
    <w:rsid w:val="006658BC"/>
    <w:rsid w:val="00665BC2"/>
    <w:rsid w:val="00666FCA"/>
    <w:rsid w:val="00667D06"/>
    <w:rsid w:val="00672A99"/>
    <w:rsid w:val="00673EA3"/>
    <w:rsid w:val="00680E1E"/>
    <w:rsid w:val="0068284A"/>
    <w:rsid w:val="00682A76"/>
    <w:rsid w:val="00692413"/>
    <w:rsid w:val="00693373"/>
    <w:rsid w:val="00695C00"/>
    <w:rsid w:val="00696C9D"/>
    <w:rsid w:val="006A09C1"/>
    <w:rsid w:val="006A1F36"/>
    <w:rsid w:val="006A3543"/>
    <w:rsid w:val="006A58D7"/>
    <w:rsid w:val="006A5E5F"/>
    <w:rsid w:val="006B0E13"/>
    <w:rsid w:val="006B2B47"/>
    <w:rsid w:val="006B5D33"/>
    <w:rsid w:val="006C0BAD"/>
    <w:rsid w:val="006C36A2"/>
    <w:rsid w:val="006D2F82"/>
    <w:rsid w:val="006D641F"/>
    <w:rsid w:val="006E33C7"/>
    <w:rsid w:val="006F6545"/>
    <w:rsid w:val="006F7CF8"/>
    <w:rsid w:val="007110CC"/>
    <w:rsid w:val="007152CE"/>
    <w:rsid w:val="00717A57"/>
    <w:rsid w:val="00732583"/>
    <w:rsid w:val="00740926"/>
    <w:rsid w:val="00743EE8"/>
    <w:rsid w:val="00744939"/>
    <w:rsid w:val="00744E5D"/>
    <w:rsid w:val="0075476C"/>
    <w:rsid w:val="00754CFF"/>
    <w:rsid w:val="0075761D"/>
    <w:rsid w:val="00762D1F"/>
    <w:rsid w:val="007640D8"/>
    <w:rsid w:val="00765E48"/>
    <w:rsid w:val="007747EB"/>
    <w:rsid w:val="007761BF"/>
    <w:rsid w:val="00776C24"/>
    <w:rsid w:val="00777053"/>
    <w:rsid w:val="007810F7"/>
    <w:rsid w:val="00785DC6"/>
    <w:rsid w:val="007A2498"/>
    <w:rsid w:val="007A2C7C"/>
    <w:rsid w:val="007A2E21"/>
    <w:rsid w:val="007B12FF"/>
    <w:rsid w:val="007B1524"/>
    <w:rsid w:val="007B1980"/>
    <w:rsid w:val="007B59CB"/>
    <w:rsid w:val="007B5D54"/>
    <w:rsid w:val="007C6E96"/>
    <w:rsid w:val="007D1CE5"/>
    <w:rsid w:val="007D34E2"/>
    <w:rsid w:val="007D4131"/>
    <w:rsid w:val="007E4762"/>
    <w:rsid w:val="007F4E05"/>
    <w:rsid w:val="00806838"/>
    <w:rsid w:val="00806B38"/>
    <w:rsid w:val="00814DB7"/>
    <w:rsid w:val="00822B53"/>
    <w:rsid w:val="00833CB4"/>
    <w:rsid w:val="00837306"/>
    <w:rsid w:val="00840440"/>
    <w:rsid w:val="00843BFA"/>
    <w:rsid w:val="00846253"/>
    <w:rsid w:val="0084663E"/>
    <w:rsid w:val="00847B91"/>
    <w:rsid w:val="008622FE"/>
    <w:rsid w:val="00870564"/>
    <w:rsid w:val="00872820"/>
    <w:rsid w:val="0087286E"/>
    <w:rsid w:val="00873FBC"/>
    <w:rsid w:val="00874FBB"/>
    <w:rsid w:val="00876A6B"/>
    <w:rsid w:val="00880724"/>
    <w:rsid w:val="008808E4"/>
    <w:rsid w:val="00880C98"/>
    <w:rsid w:val="00885DE6"/>
    <w:rsid w:val="008909BF"/>
    <w:rsid w:val="008949CB"/>
    <w:rsid w:val="008974B3"/>
    <w:rsid w:val="00897E5E"/>
    <w:rsid w:val="00897EC7"/>
    <w:rsid w:val="008A0566"/>
    <w:rsid w:val="008A40D1"/>
    <w:rsid w:val="008B52BC"/>
    <w:rsid w:val="008B5E92"/>
    <w:rsid w:val="008C4194"/>
    <w:rsid w:val="008C5D84"/>
    <w:rsid w:val="008D5954"/>
    <w:rsid w:val="008E0C40"/>
    <w:rsid w:val="008E19F4"/>
    <w:rsid w:val="008E1E67"/>
    <w:rsid w:val="008E4B68"/>
    <w:rsid w:val="008F10B7"/>
    <w:rsid w:val="008F3D84"/>
    <w:rsid w:val="00907CBF"/>
    <w:rsid w:val="0091171D"/>
    <w:rsid w:val="00917A20"/>
    <w:rsid w:val="0092236D"/>
    <w:rsid w:val="00923BF1"/>
    <w:rsid w:val="009244EB"/>
    <w:rsid w:val="00924618"/>
    <w:rsid w:val="009366EE"/>
    <w:rsid w:val="009429BC"/>
    <w:rsid w:val="00946BDE"/>
    <w:rsid w:val="00946E3B"/>
    <w:rsid w:val="00955DFE"/>
    <w:rsid w:val="00957D1A"/>
    <w:rsid w:val="00957DBA"/>
    <w:rsid w:val="009620E0"/>
    <w:rsid w:val="00966708"/>
    <w:rsid w:val="009739E8"/>
    <w:rsid w:val="00974242"/>
    <w:rsid w:val="0097753C"/>
    <w:rsid w:val="00981174"/>
    <w:rsid w:val="0098335D"/>
    <w:rsid w:val="00987EFC"/>
    <w:rsid w:val="0099324E"/>
    <w:rsid w:val="00996111"/>
    <w:rsid w:val="009A13DC"/>
    <w:rsid w:val="009B3CAD"/>
    <w:rsid w:val="009B5125"/>
    <w:rsid w:val="009C1616"/>
    <w:rsid w:val="009C6413"/>
    <w:rsid w:val="009D2907"/>
    <w:rsid w:val="009E09C8"/>
    <w:rsid w:val="009E2DB4"/>
    <w:rsid w:val="009E37F9"/>
    <w:rsid w:val="009E420C"/>
    <w:rsid w:val="009E63CA"/>
    <w:rsid w:val="009E7A87"/>
    <w:rsid w:val="009F12B3"/>
    <w:rsid w:val="009F3CAD"/>
    <w:rsid w:val="00A00CE7"/>
    <w:rsid w:val="00A01E69"/>
    <w:rsid w:val="00A02816"/>
    <w:rsid w:val="00A10F69"/>
    <w:rsid w:val="00A110DA"/>
    <w:rsid w:val="00A11152"/>
    <w:rsid w:val="00A12BAD"/>
    <w:rsid w:val="00A1339C"/>
    <w:rsid w:val="00A17706"/>
    <w:rsid w:val="00A32258"/>
    <w:rsid w:val="00A35774"/>
    <w:rsid w:val="00A35C1F"/>
    <w:rsid w:val="00A41701"/>
    <w:rsid w:val="00A535DA"/>
    <w:rsid w:val="00A546C1"/>
    <w:rsid w:val="00A6165B"/>
    <w:rsid w:val="00A665CE"/>
    <w:rsid w:val="00A66D58"/>
    <w:rsid w:val="00A708DC"/>
    <w:rsid w:val="00A718CD"/>
    <w:rsid w:val="00A82100"/>
    <w:rsid w:val="00A93AE8"/>
    <w:rsid w:val="00AB1355"/>
    <w:rsid w:val="00AB21A2"/>
    <w:rsid w:val="00AB36FC"/>
    <w:rsid w:val="00AB6D67"/>
    <w:rsid w:val="00AC00A8"/>
    <w:rsid w:val="00AC0A3A"/>
    <w:rsid w:val="00AC6177"/>
    <w:rsid w:val="00AD0A1B"/>
    <w:rsid w:val="00AD12DC"/>
    <w:rsid w:val="00AE040B"/>
    <w:rsid w:val="00AE07D4"/>
    <w:rsid w:val="00AE29F5"/>
    <w:rsid w:val="00AE76E7"/>
    <w:rsid w:val="00AF2A63"/>
    <w:rsid w:val="00AF501A"/>
    <w:rsid w:val="00AF61C1"/>
    <w:rsid w:val="00AF79F5"/>
    <w:rsid w:val="00AF7BF5"/>
    <w:rsid w:val="00B03E96"/>
    <w:rsid w:val="00B04609"/>
    <w:rsid w:val="00B067B5"/>
    <w:rsid w:val="00B14E90"/>
    <w:rsid w:val="00B15FAC"/>
    <w:rsid w:val="00B167CA"/>
    <w:rsid w:val="00B206CF"/>
    <w:rsid w:val="00B2163B"/>
    <w:rsid w:val="00B24254"/>
    <w:rsid w:val="00B36432"/>
    <w:rsid w:val="00B3757E"/>
    <w:rsid w:val="00B46506"/>
    <w:rsid w:val="00B535D7"/>
    <w:rsid w:val="00B60E58"/>
    <w:rsid w:val="00B63A6F"/>
    <w:rsid w:val="00B64305"/>
    <w:rsid w:val="00B652F4"/>
    <w:rsid w:val="00B71DF4"/>
    <w:rsid w:val="00B73B74"/>
    <w:rsid w:val="00B83CC2"/>
    <w:rsid w:val="00B901FA"/>
    <w:rsid w:val="00B9404E"/>
    <w:rsid w:val="00B969EF"/>
    <w:rsid w:val="00BA27E8"/>
    <w:rsid w:val="00BD40F8"/>
    <w:rsid w:val="00BE130A"/>
    <w:rsid w:val="00BE64C6"/>
    <w:rsid w:val="00C00995"/>
    <w:rsid w:val="00C00E3C"/>
    <w:rsid w:val="00C11DC0"/>
    <w:rsid w:val="00C15341"/>
    <w:rsid w:val="00C156F7"/>
    <w:rsid w:val="00C161DB"/>
    <w:rsid w:val="00C22B8A"/>
    <w:rsid w:val="00C250C4"/>
    <w:rsid w:val="00C46DBA"/>
    <w:rsid w:val="00C558CE"/>
    <w:rsid w:val="00C55E51"/>
    <w:rsid w:val="00C71C1B"/>
    <w:rsid w:val="00C75F56"/>
    <w:rsid w:val="00C765AB"/>
    <w:rsid w:val="00C775A6"/>
    <w:rsid w:val="00C77CF7"/>
    <w:rsid w:val="00C84C37"/>
    <w:rsid w:val="00C85439"/>
    <w:rsid w:val="00C90590"/>
    <w:rsid w:val="00C905B2"/>
    <w:rsid w:val="00C90C6B"/>
    <w:rsid w:val="00C95CD7"/>
    <w:rsid w:val="00C97814"/>
    <w:rsid w:val="00CA1411"/>
    <w:rsid w:val="00CA51B9"/>
    <w:rsid w:val="00CA724E"/>
    <w:rsid w:val="00CB0E86"/>
    <w:rsid w:val="00CB2F3E"/>
    <w:rsid w:val="00CB61C0"/>
    <w:rsid w:val="00CB6E21"/>
    <w:rsid w:val="00CB7E4C"/>
    <w:rsid w:val="00CC316E"/>
    <w:rsid w:val="00CC42C5"/>
    <w:rsid w:val="00CD25A2"/>
    <w:rsid w:val="00CD36BD"/>
    <w:rsid w:val="00CD6B78"/>
    <w:rsid w:val="00CD72E6"/>
    <w:rsid w:val="00CE74C9"/>
    <w:rsid w:val="00CF14A1"/>
    <w:rsid w:val="00CF480F"/>
    <w:rsid w:val="00D046F1"/>
    <w:rsid w:val="00D04CCC"/>
    <w:rsid w:val="00D06BB2"/>
    <w:rsid w:val="00D070AD"/>
    <w:rsid w:val="00D17D72"/>
    <w:rsid w:val="00D20149"/>
    <w:rsid w:val="00D2568A"/>
    <w:rsid w:val="00D27BD5"/>
    <w:rsid w:val="00D45F17"/>
    <w:rsid w:val="00D50F78"/>
    <w:rsid w:val="00D52CB8"/>
    <w:rsid w:val="00D53CDF"/>
    <w:rsid w:val="00D56A79"/>
    <w:rsid w:val="00D57866"/>
    <w:rsid w:val="00D578A2"/>
    <w:rsid w:val="00D6039C"/>
    <w:rsid w:val="00D60708"/>
    <w:rsid w:val="00D61148"/>
    <w:rsid w:val="00D64555"/>
    <w:rsid w:val="00D710CA"/>
    <w:rsid w:val="00D81CF5"/>
    <w:rsid w:val="00D87C7F"/>
    <w:rsid w:val="00D90923"/>
    <w:rsid w:val="00D90C88"/>
    <w:rsid w:val="00D92177"/>
    <w:rsid w:val="00D93261"/>
    <w:rsid w:val="00DA0A62"/>
    <w:rsid w:val="00DA0DF8"/>
    <w:rsid w:val="00DA5B1D"/>
    <w:rsid w:val="00DB5229"/>
    <w:rsid w:val="00DB70FE"/>
    <w:rsid w:val="00DB7B7F"/>
    <w:rsid w:val="00DC01CF"/>
    <w:rsid w:val="00DC2189"/>
    <w:rsid w:val="00DC514B"/>
    <w:rsid w:val="00DC689B"/>
    <w:rsid w:val="00DC7DA4"/>
    <w:rsid w:val="00DD5109"/>
    <w:rsid w:val="00DD69D1"/>
    <w:rsid w:val="00DE3DF6"/>
    <w:rsid w:val="00DE62B8"/>
    <w:rsid w:val="00DF0197"/>
    <w:rsid w:val="00DF30D5"/>
    <w:rsid w:val="00DF457C"/>
    <w:rsid w:val="00E10EF2"/>
    <w:rsid w:val="00E155A0"/>
    <w:rsid w:val="00E20171"/>
    <w:rsid w:val="00E223CC"/>
    <w:rsid w:val="00E239DC"/>
    <w:rsid w:val="00E26828"/>
    <w:rsid w:val="00E32DBE"/>
    <w:rsid w:val="00E37995"/>
    <w:rsid w:val="00E379BB"/>
    <w:rsid w:val="00E37B67"/>
    <w:rsid w:val="00E41A86"/>
    <w:rsid w:val="00E44C30"/>
    <w:rsid w:val="00E5285E"/>
    <w:rsid w:val="00E70588"/>
    <w:rsid w:val="00E76FE2"/>
    <w:rsid w:val="00E80A67"/>
    <w:rsid w:val="00E8288E"/>
    <w:rsid w:val="00E94F4E"/>
    <w:rsid w:val="00E97270"/>
    <w:rsid w:val="00E97F75"/>
    <w:rsid w:val="00EA2205"/>
    <w:rsid w:val="00EA49BB"/>
    <w:rsid w:val="00EB3F36"/>
    <w:rsid w:val="00EB6D01"/>
    <w:rsid w:val="00EC0FDC"/>
    <w:rsid w:val="00EE6AE6"/>
    <w:rsid w:val="00EF4841"/>
    <w:rsid w:val="00EF70C8"/>
    <w:rsid w:val="00F03C9C"/>
    <w:rsid w:val="00F14897"/>
    <w:rsid w:val="00F24597"/>
    <w:rsid w:val="00F428EA"/>
    <w:rsid w:val="00F46730"/>
    <w:rsid w:val="00F46CF2"/>
    <w:rsid w:val="00F46ED0"/>
    <w:rsid w:val="00F47B7A"/>
    <w:rsid w:val="00F53A8F"/>
    <w:rsid w:val="00F62D4D"/>
    <w:rsid w:val="00F6469A"/>
    <w:rsid w:val="00F64D38"/>
    <w:rsid w:val="00F72F80"/>
    <w:rsid w:val="00F76657"/>
    <w:rsid w:val="00F82A93"/>
    <w:rsid w:val="00F82B98"/>
    <w:rsid w:val="00F85FE8"/>
    <w:rsid w:val="00F87ED8"/>
    <w:rsid w:val="00F92B41"/>
    <w:rsid w:val="00F94F89"/>
    <w:rsid w:val="00F9504D"/>
    <w:rsid w:val="00FA2C3A"/>
    <w:rsid w:val="00FA32E7"/>
    <w:rsid w:val="00FA3AA4"/>
    <w:rsid w:val="00FA3EF0"/>
    <w:rsid w:val="00FB1C0B"/>
    <w:rsid w:val="00FB237D"/>
    <w:rsid w:val="00FC0CDB"/>
    <w:rsid w:val="00FC38F0"/>
    <w:rsid w:val="00FC7D1A"/>
    <w:rsid w:val="00FD30C8"/>
    <w:rsid w:val="00FD3E90"/>
    <w:rsid w:val="00FD50A5"/>
    <w:rsid w:val="00FE4FA6"/>
    <w:rsid w:val="00FF23A7"/>
    <w:rsid w:val="00FF3638"/>
    <w:rsid w:val="18E357D2"/>
    <w:rsid w:val="37EF55E2"/>
    <w:rsid w:val="674390AD"/>
    <w:rsid w:val="73019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F0D48A2"/>
  <w15:chartTrackingRefBased/>
  <w15:docId w15:val="{8F23FE27-37B6-4A07-ACB6-87B9E8046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76FE2"/>
  </w:style>
  <w:style w:type="paragraph" w:styleId="Ttulo1">
    <w:name w:val="heading 1"/>
    <w:basedOn w:val="Normal"/>
    <w:next w:val="Normal"/>
    <w:link w:val="Ttulo1Char"/>
    <w:uiPriority w:val="9"/>
    <w:qFormat/>
    <w:rsid w:val="00EB6D0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C156F7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sz w:val="24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611101"/>
    <w:pPr>
      <w:keepNext/>
      <w:keepLines/>
      <w:spacing w:before="280" w:after="240"/>
      <w:outlineLvl w:val="2"/>
    </w:pPr>
    <w:rPr>
      <w:rFonts w:ascii="Times New Roman" w:eastAsiaTheme="majorEastAsia" w:hAnsi="Times New Roman" w:cstheme="majorBidi"/>
      <w:b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E76FE2"/>
    <w:pPr>
      <w:keepNext/>
      <w:keepLines/>
      <w:spacing w:before="40" w:after="0"/>
      <w:outlineLvl w:val="3"/>
    </w:pPr>
    <w:rPr>
      <w:rFonts w:ascii="Times New Roman" w:eastAsiaTheme="majorEastAsia" w:hAnsi="Times New Roman" w:cstheme="majorBidi"/>
      <w:iCs/>
      <w:sz w:val="24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B6D0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B6D01"/>
  </w:style>
  <w:style w:type="paragraph" w:styleId="Rodap">
    <w:name w:val="footer"/>
    <w:basedOn w:val="Normal"/>
    <w:link w:val="RodapChar"/>
    <w:uiPriority w:val="99"/>
    <w:unhideWhenUsed/>
    <w:rsid w:val="00EB6D0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B6D01"/>
  </w:style>
  <w:style w:type="character" w:customStyle="1" w:styleId="Ttulo1Char">
    <w:name w:val="Título 1 Char"/>
    <w:basedOn w:val="Fontepargpadro"/>
    <w:link w:val="Ttulo1"/>
    <w:uiPriority w:val="9"/>
    <w:rsid w:val="00EB6D0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"/>
    <w:rsid w:val="00C156F7"/>
    <w:rPr>
      <w:rFonts w:ascii="Times New Roman" w:eastAsiaTheme="majorEastAsia" w:hAnsi="Times New Roman" w:cstheme="majorBidi"/>
      <w:sz w:val="24"/>
      <w:szCs w:val="26"/>
    </w:rPr>
  </w:style>
  <w:style w:type="table" w:styleId="Tabelacomgrade">
    <w:name w:val="Table Grid"/>
    <w:basedOn w:val="Tabelanormal"/>
    <w:uiPriority w:val="39"/>
    <w:rsid w:val="006C36A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basedOn w:val="Fontepargpadro"/>
    <w:uiPriority w:val="99"/>
    <w:semiHidden/>
    <w:unhideWhenUsed/>
    <w:rsid w:val="006C36A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6C36A2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6C36A2"/>
    <w:rPr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C36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C36A2"/>
    <w:rPr>
      <w:rFonts w:ascii="Segoe UI" w:hAnsi="Segoe UI" w:cs="Segoe UI"/>
      <w:sz w:val="18"/>
      <w:szCs w:val="18"/>
    </w:rPr>
  </w:style>
  <w:style w:type="character" w:customStyle="1" w:styleId="Ttulo4Char">
    <w:name w:val="Título 4 Char"/>
    <w:basedOn w:val="Fontepargpadro"/>
    <w:link w:val="Ttulo4"/>
    <w:uiPriority w:val="9"/>
    <w:rsid w:val="00E76FE2"/>
    <w:rPr>
      <w:rFonts w:ascii="Times New Roman" w:eastAsiaTheme="majorEastAsia" w:hAnsi="Times New Roman" w:cstheme="majorBidi"/>
      <w:iCs/>
      <w:sz w:val="24"/>
      <w:u w:val="single"/>
    </w:rPr>
  </w:style>
  <w:style w:type="table" w:customStyle="1" w:styleId="TableGrid0">
    <w:name w:val="Table Grid0"/>
    <w:rsid w:val="006C36A2"/>
    <w:pPr>
      <w:spacing w:after="0" w:line="240" w:lineRule="auto"/>
    </w:pPr>
    <w:rPr>
      <w:rFonts w:eastAsiaTheme="minorEastAsia"/>
      <w:lang w:eastAsia="pt-B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aliases w:val="Numbering"/>
    <w:basedOn w:val="Normal"/>
    <w:link w:val="PargrafodaListaChar"/>
    <w:uiPriority w:val="34"/>
    <w:qFormat/>
    <w:rsid w:val="006C36A2"/>
    <w:pPr>
      <w:ind w:left="720"/>
      <w:contextualSpacing/>
    </w:pPr>
  </w:style>
  <w:style w:type="paragraph" w:styleId="Legenda">
    <w:name w:val="caption"/>
    <w:basedOn w:val="Normal"/>
    <w:next w:val="Normal"/>
    <w:uiPriority w:val="35"/>
    <w:unhideWhenUsed/>
    <w:qFormat/>
    <w:rsid w:val="00667D0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3E0D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3E0D60"/>
    <w:rPr>
      <w:b/>
      <w:bCs/>
      <w:sz w:val="20"/>
      <w:szCs w:val="20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126525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126525"/>
    <w:rPr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611101"/>
    <w:rPr>
      <w:rFonts w:ascii="Times New Roman" w:eastAsiaTheme="majorEastAsia" w:hAnsi="Times New Roman" w:cstheme="majorBidi"/>
      <w:b/>
      <w:sz w:val="24"/>
      <w:szCs w:val="24"/>
    </w:rPr>
  </w:style>
  <w:style w:type="table" w:customStyle="1" w:styleId="Tabelacomgrade1">
    <w:name w:val="Tabela com grade1"/>
    <w:basedOn w:val="Tabelanormal"/>
    <w:next w:val="Tabelacomgrade"/>
    <w:uiPriority w:val="39"/>
    <w:rsid w:val="005342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2">
    <w:name w:val="Tabela com grade2"/>
    <w:basedOn w:val="Tabelanormal"/>
    <w:next w:val="Tabelacomgrade"/>
    <w:uiPriority w:val="39"/>
    <w:rsid w:val="00A12B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3">
    <w:name w:val="Tabela com grade3"/>
    <w:basedOn w:val="Tabelanormal"/>
    <w:next w:val="Tabelacomgrade"/>
    <w:uiPriority w:val="39"/>
    <w:rsid w:val="00F950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grafodaListaChar">
    <w:name w:val="Parágrafo da Lista Char"/>
    <w:aliases w:val="Numbering Char"/>
    <w:basedOn w:val="Fontepargpadro"/>
    <w:link w:val="PargrafodaLista"/>
    <w:uiPriority w:val="34"/>
    <w:rsid w:val="00C156F7"/>
  </w:style>
  <w:style w:type="paragraph" w:styleId="NormalWeb">
    <w:name w:val="Normal (Web)"/>
    <w:basedOn w:val="Normal"/>
    <w:uiPriority w:val="99"/>
    <w:semiHidden/>
    <w:unhideWhenUsed/>
    <w:rsid w:val="0047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Default">
    <w:name w:val="Default"/>
    <w:rsid w:val="003935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86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F8DB8852B6F044AAC5309F5CB3825D" ma:contentTypeVersion="0" ma:contentTypeDescription="Create a new document." ma:contentTypeScope="" ma:versionID="0fa6b9568c8dc982b16ed81dbee791d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967b7be50301903c78f9c39c6fd9a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C247CA-25AB-40B8-9A31-06319EDE53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C4928B-F54C-42DF-A0EF-B943E9A1C853}">
  <ds:schemaRefs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8E50B95-9E65-4F70-AF12-98C5689BB1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ED1A61C-9C80-47E9-B29B-E3D3E2F12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868</Words>
  <Characters>4692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TCU</Company>
  <LinksUpToDate>false</LinksUpToDate>
  <CharactersWithSpaces>5549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Firmina Dos Santos</dc:creator>
  <cp:keywords/>
  <dc:description/>
  <cp:lastModifiedBy>Suzie Hayashida Cabral</cp:lastModifiedBy>
  <cp:revision>11</cp:revision>
  <dcterms:created xsi:type="dcterms:W3CDTF">2020-04-06T17:34:00Z</dcterms:created>
  <dcterms:modified xsi:type="dcterms:W3CDTF">2023-08-30T16:11:00Z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0x01010094F8DB8852B6F044AAC5309F5CB3825D</vt:lpwstr>
  </property>
</Properties>
</file>